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E7" w:rsidRPr="00436E73" w:rsidRDefault="00B817E7">
      <w:pPr>
        <w:pStyle w:val="ConsPlusTitle"/>
        <w:jc w:val="center"/>
        <w:outlineLvl w:val="0"/>
      </w:pPr>
      <w:r w:rsidRPr="00436E73">
        <w:t>ДУМА ПОДДОРСКОГО МУНИЦИПАЛЬНОГО РАЙОНА</w:t>
      </w:r>
    </w:p>
    <w:p w:rsidR="00B817E7" w:rsidRPr="00436E73" w:rsidRDefault="00B817E7">
      <w:pPr>
        <w:pStyle w:val="ConsPlusTitle"/>
        <w:jc w:val="center"/>
      </w:pPr>
      <w:r w:rsidRPr="00436E73">
        <w:t>НОВГОРОДСКОЙ ОБЛАСТИ</w:t>
      </w:r>
    </w:p>
    <w:p w:rsidR="00B817E7" w:rsidRPr="00436E73" w:rsidRDefault="00B817E7">
      <w:pPr>
        <w:pStyle w:val="ConsPlusTitle"/>
        <w:jc w:val="center"/>
      </w:pPr>
    </w:p>
    <w:p w:rsidR="00B817E7" w:rsidRPr="00436E73" w:rsidRDefault="00B817E7">
      <w:pPr>
        <w:pStyle w:val="ConsPlusTitle"/>
        <w:jc w:val="center"/>
      </w:pPr>
      <w:r w:rsidRPr="00436E73">
        <w:t>РЕШЕНИЕ</w:t>
      </w:r>
    </w:p>
    <w:p w:rsidR="00B817E7" w:rsidRPr="00436E73" w:rsidRDefault="00B817E7">
      <w:pPr>
        <w:pStyle w:val="ConsPlusTitle"/>
        <w:jc w:val="center"/>
      </w:pPr>
      <w:r w:rsidRPr="00436E73">
        <w:t>от 28 мая 2020 г. N 292</w:t>
      </w:r>
    </w:p>
    <w:p w:rsidR="00B817E7" w:rsidRPr="00436E73" w:rsidRDefault="00B817E7">
      <w:pPr>
        <w:pStyle w:val="ConsPlusTitle"/>
        <w:jc w:val="center"/>
      </w:pPr>
    </w:p>
    <w:p w:rsidR="00B817E7" w:rsidRPr="00436E73" w:rsidRDefault="00436E73">
      <w:pPr>
        <w:pStyle w:val="ConsPlusTitle"/>
        <w:jc w:val="center"/>
      </w:pPr>
      <w:proofErr w:type="gramStart"/>
      <w:r w:rsidRPr="00436E73">
        <w:t>Об утверждении положения о системе налогообложения в виде единого налога на вмененный доход для отдельных видов</w:t>
      </w:r>
      <w:proofErr w:type="gramEnd"/>
      <w:r w:rsidRPr="00436E73">
        <w:t xml:space="preserve"> деятельности на территории </w:t>
      </w:r>
      <w:proofErr w:type="spellStart"/>
      <w:r w:rsidRPr="00436E73">
        <w:t>Поддорского</w:t>
      </w:r>
      <w:proofErr w:type="spellEnd"/>
      <w:r w:rsidRPr="00436E73">
        <w:t xml:space="preserve"> муниципального района</w:t>
      </w:r>
    </w:p>
    <w:p w:rsidR="00B817E7" w:rsidRPr="00436E73" w:rsidRDefault="00B817E7">
      <w:pPr>
        <w:pStyle w:val="ConsPlusNormal"/>
        <w:jc w:val="both"/>
      </w:pPr>
    </w:p>
    <w:p w:rsidR="00B817E7" w:rsidRPr="00436E73" w:rsidRDefault="00B817E7">
      <w:pPr>
        <w:pStyle w:val="ConsPlusNormal"/>
        <w:ind w:firstLine="540"/>
        <w:jc w:val="both"/>
      </w:pPr>
      <w:r w:rsidRPr="00436E73">
        <w:t xml:space="preserve">В соответствии с Федеральным законом от 06.10.2003 N 131-ФЗ "Об общих принципах организации местного самоуправления в Российской Федерации", главой 26.3 части второй Налогового кодекса Российской Федерации и Федеральным законом от 22.07.2008 N 155-ФЗ "О внесении изменений в часть вторую Налогового кодекса РФ" Дума </w:t>
      </w:r>
      <w:proofErr w:type="spellStart"/>
      <w:r w:rsidRPr="00436E73">
        <w:t>Поддорского</w:t>
      </w:r>
      <w:proofErr w:type="spellEnd"/>
      <w:r w:rsidRPr="00436E73">
        <w:t xml:space="preserve"> муниципального района решила:</w:t>
      </w:r>
    </w:p>
    <w:p w:rsidR="00B817E7" w:rsidRPr="00436E73" w:rsidRDefault="00B817E7">
      <w:pPr>
        <w:pStyle w:val="ConsPlusNormal"/>
        <w:jc w:val="both"/>
      </w:pPr>
    </w:p>
    <w:p w:rsidR="00B817E7" w:rsidRPr="00436E73" w:rsidRDefault="00B817E7">
      <w:pPr>
        <w:pStyle w:val="ConsPlusNormal"/>
        <w:ind w:firstLine="540"/>
        <w:jc w:val="both"/>
      </w:pPr>
      <w:r w:rsidRPr="00436E73">
        <w:t>1. Утвердить прилагаемое Положение о системе налогообложения в виде единого налога на вмененный доход для отдельных видов деятельности.</w:t>
      </w:r>
    </w:p>
    <w:p w:rsidR="00B817E7" w:rsidRPr="00436E73" w:rsidRDefault="00B817E7">
      <w:pPr>
        <w:pStyle w:val="ConsPlusNormal"/>
        <w:jc w:val="both"/>
      </w:pPr>
    </w:p>
    <w:p w:rsidR="00B817E7" w:rsidRPr="00436E73" w:rsidRDefault="00B817E7">
      <w:pPr>
        <w:pStyle w:val="ConsPlusNormal"/>
        <w:ind w:firstLine="540"/>
        <w:jc w:val="both"/>
      </w:pPr>
      <w:r w:rsidRPr="00436E73">
        <w:t xml:space="preserve">2. Считать утратившим силу решения Думы </w:t>
      </w:r>
      <w:proofErr w:type="spellStart"/>
      <w:r w:rsidRPr="00436E73">
        <w:t>Поддорского</w:t>
      </w:r>
      <w:proofErr w:type="spellEnd"/>
      <w:r w:rsidRPr="00436E73">
        <w:t xml:space="preserve"> муниципального района с 1 апреля 2020 года:</w:t>
      </w:r>
    </w:p>
    <w:p w:rsidR="00B817E7" w:rsidRPr="00436E73" w:rsidRDefault="00B817E7">
      <w:pPr>
        <w:pStyle w:val="ConsPlusNormal"/>
        <w:spacing w:before="220"/>
        <w:ind w:firstLine="540"/>
        <w:jc w:val="both"/>
      </w:pPr>
      <w:r w:rsidRPr="00436E73">
        <w:t>от 26.04.2012 N 511 "О системе налогообложения в виде единого налога на вмененный доход для отдельных видов деятельности";</w:t>
      </w:r>
    </w:p>
    <w:p w:rsidR="00B817E7" w:rsidRPr="00436E73" w:rsidRDefault="00B817E7">
      <w:pPr>
        <w:pStyle w:val="ConsPlusNormal"/>
        <w:spacing w:before="220"/>
        <w:ind w:firstLine="540"/>
        <w:jc w:val="both"/>
      </w:pPr>
      <w:r w:rsidRPr="00436E73">
        <w:t xml:space="preserve">от 24.10.2013 N 604 "О внесении в </w:t>
      </w:r>
      <w:proofErr w:type="gramStart"/>
      <w:r w:rsidRPr="00436E73">
        <w:t>Положение</w:t>
      </w:r>
      <w:proofErr w:type="gramEnd"/>
      <w:r w:rsidRPr="00436E73">
        <w:t xml:space="preserve"> о системе налогообложения в виде единого налога на вмененный доход для отдельных видов деятельности на территории </w:t>
      </w:r>
      <w:proofErr w:type="spellStart"/>
      <w:r w:rsidRPr="00436E73">
        <w:t>Поддорского</w:t>
      </w:r>
      <w:proofErr w:type="spellEnd"/>
      <w:r w:rsidRPr="00436E73">
        <w:t xml:space="preserve"> муниципального района";</w:t>
      </w:r>
    </w:p>
    <w:p w:rsidR="00B817E7" w:rsidRPr="00436E73" w:rsidRDefault="00B817E7">
      <w:pPr>
        <w:pStyle w:val="ConsPlusNormal"/>
        <w:spacing w:before="220"/>
        <w:ind w:firstLine="540"/>
        <w:jc w:val="both"/>
      </w:pPr>
      <w:r w:rsidRPr="00436E73">
        <w:t xml:space="preserve">от 30.10.2014 N 671 "О внесении в </w:t>
      </w:r>
      <w:proofErr w:type="gramStart"/>
      <w:r w:rsidRPr="00436E73">
        <w:t>Положение</w:t>
      </w:r>
      <w:proofErr w:type="gramEnd"/>
      <w:r w:rsidRPr="00436E73">
        <w:t xml:space="preserve"> о системе налогообложения в виде единого налога на вмененный доход для отдельных видов деятельности на территории </w:t>
      </w:r>
      <w:proofErr w:type="spellStart"/>
      <w:r w:rsidRPr="00436E73">
        <w:t>Поддорского</w:t>
      </w:r>
      <w:proofErr w:type="spellEnd"/>
      <w:r w:rsidRPr="00436E73">
        <w:t xml:space="preserve"> муниципального района";</w:t>
      </w:r>
    </w:p>
    <w:p w:rsidR="00B817E7" w:rsidRPr="00436E73" w:rsidRDefault="00B817E7">
      <w:pPr>
        <w:pStyle w:val="ConsPlusNormal"/>
        <w:spacing w:before="220"/>
        <w:ind w:firstLine="540"/>
        <w:jc w:val="both"/>
      </w:pPr>
      <w:r w:rsidRPr="00436E73">
        <w:t xml:space="preserve">от 29.11.2016 N 92 "О внесении в </w:t>
      </w:r>
      <w:proofErr w:type="gramStart"/>
      <w:r w:rsidRPr="00436E73">
        <w:t>Положение</w:t>
      </w:r>
      <w:proofErr w:type="gramEnd"/>
      <w:r w:rsidRPr="00436E73">
        <w:t xml:space="preserve"> о системе налогообложения в виде единого налога на вмененный доход для отдельных видов деятельности на территории </w:t>
      </w:r>
      <w:proofErr w:type="spellStart"/>
      <w:r w:rsidRPr="00436E73">
        <w:t>Поддорского</w:t>
      </w:r>
      <w:proofErr w:type="spellEnd"/>
      <w:r w:rsidRPr="00436E73">
        <w:t xml:space="preserve"> муниципального района".</w:t>
      </w:r>
    </w:p>
    <w:p w:rsidR="00B817E7" w:rsidRPr="00436E73" w:rsidRDefault="00B817E7">
      <w:pPr>
        <w:pStyle w:val="ConsPlusNormal"/>
        <w:jc w:val="both"/>
      </w:pPr>
    </w:p>
    <w:p w:rsidR="00B817E7" w:rsidRPr="00436E73" w:rsidRDefault="00B817E7">
      <w:pPr>
        <w:pStyle w:val="ConsPlusNormal"/>
        <w:ind w:firstLine="540"/>
        <w:jc w:val="both"/>
      </w:pPr>
      <w:r w:rsidRPr="00436E73">
        <w:t>3. Настоящее решение вступает в силу со дня его официального опубликования, распространяется на правоотношения, возникшие с 1 апреля 2020 года, и действует по 31 декабря 2020 года включительно.</w:t>
      </w:r>
    </w:p>
    <w:p w:rsidR="00B817E7" w:rsidRPr="00436E73" w:rsidRDefault="00B817E7">
      <w:pPr>
        <w:pStyle w:val="ConsPlusNormal"/>
        <w:jc w:val="both"/>
      </w:pPr>
    </w:p>
    <w:p w:rsidR="00B817E7" w:rsidRPr="00436E73" w:rsidRDefault="00B817E7">
      <w:pPr>
        <w:pStyle w:val="ConsPlusNormal"/>
        <w:ind w:firstLine="540"/>
        <w:jc w:val="both"/>
      </w:pPr>
      <w:r w:rsidRPr="00436E73">
        <w:t xml:space="preserve">4. Опубликовать решение в муниципальной газете "Вестник </w:t>
      </w:r>
      <w:proofErr w:type="spellStart"/>
      <w:r w:rsidRPr="00436E73">
        <w:t>Поддорского</w:t>
      </w:r>
      <w:proofErr w:type="spellEnd"/>
      <w:r w:rsidRPr="00436E73">
        <w:t xml:space="preserve"> муниципального района" и разместить на официальном сайте Администрации </w:t>
      </w:r>
      <w:proofErr w:type="spellStart"/>
      <w:r w:rsidRPr="00436E73">
        <w:t>Поддорского</w:t>
      </w:r>
      <w:proofErr w:type="spellEnd"/>
      <w:r w:rsidRPr="00436E73">
        <w:t xml:space="preserve"> муниципального района в информационно-телекоммуникационной сети "Интернет".</w:t>
      </w:r>
    </w:p>
    <w:p w:rsidR="00B817E7" w:rsidRPr="00436E73" w:rsidRDefault="00B817E7">
      <w:pPr>
        <w:pStyle w:val="ConsPlusNormal"/>
        <w:jc w:val="both"/>
      </w:pPr>
    </w:p>
    <w:p w:rsidR="00B817E7" w:rsidRPr="00436E73" w:rsidRDefault="00B817E7">
      <w:pPr>
        <w:pStyle w:val="ConsPlusNormal"/>
        <w:jc w:val="right"/>
      </w:pPr>
      <w:r w:rsidRPr="00436E73">
        <w:t>Глава муниципального района</w:t>
      </w:r>
    </w:p>
    <w:p w:rsidR="00B817E7" w:rsidRPr="00436E73" w:rsidRDefault="00B817E7">
      <w:pPr>
        <w:pStyle w:val="ConsPlusNormal"/>
        <w:jc w:val="right"/>
      </w:pPr>
      <w:r w:rsidRPr="00436E73">
        <w:t>Е.В.ПАНИНА</w:t>
      </w:r>
    </w:p>
    <w:p w:rsidR="00B817E7" w:rsidRPr="00436E73" w:rsidRDefault="00B817E7">
      <w:pPr>
        <w:pStyle w:val="ConsPlusNormal"/>
        <w:jc w:val="both"/>
      </w:pPr>
    </w:p>
    <w:p w:rsidR="00B817E7" w:rsidRPr="00436E73" w:rsidRDefault="00B817E7">
      <w:pPr>
        <w:pStyle w:val="ConsPlusNormal"/>
        <w:jc w:val="right"/>
      </w:pPr>
      <w:r w:rsidRPr="00436E73">
        <w:t>Председатель</w:t>
      </w:r>
    </w:p>
    <w:p w:rsidR="00B817E7" w:rsidRPr="00436E73" w:rsidRDefault="00B817E7">
      <w:pPr>
        <w:pStyle w:val="ConsPlusNormal"/>
        <w:jc w:val="right"/>
      </w:pPr>
      <w:r w:rsidRPr="00436E73">
        <w:t xml:space="preserve">Думы </w:t>
      </w:r>
      <w:proofErr w:type="spellStart"/>
      <w:r w:rsidRPr="00436E73">
        <w:t>Поддорского</w:t>
      </w:r>
      <w:proofErr w:type="spellEnd"/>
    </w:p>
    <w:p w:rsidR="00B817E7" w:rsidRPr="00436E73" w:rsidRDefault="00B817E7">
      <w:pPr>
        <w:pStyle w:val="ConsPlusNormal"/>
        <w:jc w:val="right"/>
      </w:pPr>
      <w:r w:rsidRPr="00436E73">
        <w:t>муниципального района</w:t>
      </w:r>
    </w:p>
    <w:p w:rsidR="00B817E7" w:rsidRPr="00436E73" w:rsidRDefault="00B817E7">
      <w:pPr>
        <w:pStyle w:val="ConsPlusNormal"/>
        <w:jc w:val="right"/>
      </w:pPr>
      <w:r w:rsidRPr="00436E73">
        <w:t>Т.Н.КРУТОВА</w:t>
      </w: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right"/>
        <w:outlineLvl w:val="0"/>
      </w:pPr>
      <w:r w:rsidRPr="00436E73">
        <w:t>Утверждено</w:t>
      </w:r>
    </w:p>
    <w:p w:rsidR="00B817E7" w:rsidRPr="00436E73" w:rsidRDefault="00B817E7">
      <w:pPr>
        <w:pStyle w:val="ConsPlusNormal"/>
        <w:jc w:val="right"/>
      </w:pPr>
      <w:r w:rsidRPr="00436E73">
        <w:t>решением</w:t>
      </w:r>
    </w:p>
    <w:p w:rsidR="00B817E7" w:rsidRPr="00436E73" w:rsidRDefault="00B817E7">
      <w:pPr>
        <w:pStyle w:val="ConsPlusNormal"/>
        <w:jc w:val="right"/>
      </w:pPr>
      <w:r w:rsidRPr="00436E73">
        <w:t xml:space="preserve">Думы </w:t>
      </w:r>
      <w:proofErr w:type="spellStart"/>
      <w:r w:rsidRPr="00436E73">
        <w:t>Поддорского</w:t>
      </w:r>
      <w:proofErr w:type="spellEnd"/>
    </w:p>
    <w:p w:rsidR="00B817E7" w:rsidRPr="00436E73" w:rsidRDefault="00B817E7">
      <w:pPr>
        <w:pStyle w:val="ConsPlusNormal"/>
        <w:jc w:val="right"/>
      </w:pPr>
      <w:r w:rsidRPr="00436E73">
        <w:t>муниципального района</w:t>
      </w:r>
    </w:p>
    <w:p w:rsidR="00B817E7" w:rsidRPr="00436E73" w:rsidRDefault="00B817E7">
      <w:pPr>
        <w:pStyle w:val="ConsPlusNormal"/>
        <w:jc w:val="right"/>
      </w:pPr>
      <w:r w:rsidRPr="00436E73">
        <w:t>от 28.05.2020 N 292</w:t>
      </w:r>
    </w:p>
    <w:p w:rsidR="00B817E7" w:rsidRPr="00436E73" w:rsidRDefault="00B817E7">
      <w:pPr>
        <w:pStyle w:val="ConsPlusNormal"/>
        <w:jc w:val="both"/>
      </w:pPr>
    </w:p>
    <w:p w:rsidR="00B817E7" w:rsidRPr="00436E73" w:rsidRDefault="00B817E7">
      <w:pPr>
        <w:pStyle w:val="ConsPlusTitle"/>
        <w:jc w:val="center"/>
      </w:pPr>
      <w:bookmarkStart w:id="0" w:name="P43"/>
      <w:bookmarkEnd w:id="0"/>
      <w:r w:rsidRPr="00436E73">
        <w:t>ПОЛОЖЕНИЕ</w:t>
      </w:r>
    </w:p>
    <w:p w:rsidR="00B817E7" w:rsidRPr="00436E73" w:rsidRDefault="00B817E7">
      <w:pPr>
        <w:pStyle w:val="ConsPlusTitle"/>
        <w:jc w:val="center"/>
      </w:pPr>
      <w:r w:rsidRPr="00436E73">
        <w:t>О СИСТЕМЕ НАЛОГООБЛОЖЕНИЯ В ВИДЕ ЕДИНОГО НАЛОГА</w:t>
      </w:r>
    </w:p>
    <w:p w:rsidR="00B817E7" w:rsidRPr="00436E73" w:rsidRDefault="00B817E7">
      <w:pPr>
        <w:pStyle w:val="ConsPlusTitle"/>
        <w:jc w:val="center"/>
      </w:pPr>
      <w:r w:rsidRPr="00436E73">
        <w:t>НА ВМЕНЕННЫЙ ДОХОД ДЛЯ ОТДЕЛЬНЫХ ВИДОВ ДЕЯТЕЛЬНОСТИ</w:t>
      </w:r>
    </w:p>
    <w:p w:rsidR="00B817E7" w:rsidRPr="00436E73" w:rsidRDefault="00B817E7">
      <w:pPr>
        <w:pStyle w:val="ConsPlusNormal"/>
        <w:jc w:val="both"/>
      </w:pPr>
    </w:p>
    <w:p w:rsidR="00B817E7" w:rsidRPr="00436E73" w:rsidRDefault="00B817E7">
      <w:pPr>
        <w:pStyle w:val="ConsPlusTitle"/>
        <w:jc w:val="center"/>
        <w:outlineLvl w:val="1"/>
      </w:pPr>
      <w:r w:rsidRPr="00436E73">
        <w:t>1. Общие положения</w:t>
      </w:r>
    </w:p>
    <w:p w:rsidR="00B817E7" w:rsidRPr="00436E73" w:rsidRDefault="00B817E7">
      <w:pPr>
        <w:pStyle w:val="ConsPlusNormal"/>
        <w:jc w:val="both"/>
      </w:pPr>
    </w:p>
    <w:p w:rsidR="00B817E7" w:rsidRPr="00436E73" w:rsidRDefault="00B817E7">
      <w:pPr>
        <w:pStyle w:val="ConsPlusNormal"/>
        <w:ind w:firstLine="540"/>
        <w:jc w:val="both"/>
      </w:pPr>
      <w:r w:rsidRPr="00436E73">
        <w:t xml:space="preserve">1.1. </w:t>
      </w:r>
      <w:proofErr w:type="gramStart"/>
      <w:r w:rsidRPr="00436E73">
        <w:t xml:space="preserve">Настоящее Положение о системе налогообложения в виде единого налога на вмененный доход для отдельных видов деятельности (далее - Положение) в соответствии с главой 26.3 части второй Налогового кодекса Российской Федерации регламентирует на территории </w:t>
      </w:r>
      <w:proofErr w:type="spellStart"/>
      <w:r w:rsidRPr="00436E73">
        <w:t>Поддорского</w:t>
      </w:r>
      <w:proofErr w:type="spellEnd"/>
      <w:r w:rsidRPr="00436E73">
        <w:t xml:space="preserve"> муниципального района систему налогообложения в виде единого налога на вмененный доход для отдельных видов деятельности (далее - единый налог), которое применяется наряду с общей системой налогообложения (далее - общий</w:t>
      </w:r>
      <w:proofErr w:type="gramEnd"/>
      <w:r w:rsidRPr="00436E73">
        <w:t xml:space="preserve"> режим налогообложения) и иными режимами налогообложения, предусмотренными законодательством Российской Федерации о налогах и сборах.</w:t>
      </w:r>
    </w:p>
    <w:p w:rsidR="00B817E7" w:rsidRPr="00436E73" w:rsidRDefault="00B817E7">
      <w:pPr>
        <w:pStyle w:val="ConsPlusNormal"/>
        <w:spacing w:before="220"/>
        <w:ind w:firstLine="540"/>
        <w:jc w:val="both"/>
      </w:pPr>
      <w:bookmarkStart w:id="1" w:name="P50"/>
      <w:bookmarkEnd w:id="1"/>
      <w:r w:rsidRPr="00436E73">
        <w:t>1.2. Налогоплательщиками единого налога являются организации и индивидуальные предприниматели, осуществляющие следующие виды деятельности:</w:t>
      </w:r>
    </w:p>
    <w:p w:rsidR="00B817E7" w:rsidRPr="00436E73" w:rsidRDefault="00B817E7">
      <w:pPr>
        <w:pStyle w:val="ConsPlusNormal"/>
        <w:spacing w:before="220"/>
        <w:ind w:firstLine="540"/>
        <w:jc w:val="both"/>
      </w:pPr>
      <w:bookmarkStart w:id="2" w:name="P51"/>
      <w:bookmarkEnd w:id="2"/>
      <w:r w:rsidRPr="00436E73">
        <w:t>1.2.1. Оказание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B817E7" w:rsidRPr="00436E73" w:rsidRDefault="00B817E7">
      <w:pPr>
        <w:pStyle w:val="ConsPlusNormal"/>
        <w:spacing w:before="220"/>
        <w:ind w:firstLine="540"/>
        <w:jc w:val="both"/>
      </w:pPr>
      <w:r w:rsidRPr="00436E73">
        <w:t>1.2.2. Оказание ветеринарных услуг;</w:t>
      </w:r>
    </w:p>
    <w:p w:rsidR="00B817E7" w:rsidRPr="00436E73" w:rsidRDefault="00B817E7">
      <w:pPr>
        <w:pStyle w:val="ConsPlusNormal"/>
        <w:spacing w:before="220"/>
        <w:ind w:firstLine="540"/>
        <w:jc w:val="both"/>
      </w:pPr>
      <w:r w:rsidRPr="00436E73">
        <w:t>1.2.3. Оказание услуг по ремонту, техническому обслуживанию и мойке автомототранспортных средств;</w:t>
      </w:r>
    </w:p>
    <w:p w:rsidR="00B817E7" w:rsidRPr="00436E73" w:rsidRDefault="00B817E7">
      <w:pPr>
        <w:pStyle w:val="ConsPlusNormal"/>
        <w:spacing w:before="280"/>
        <w:ind w:firstLine="540"/>
        <w:jc w:val="both"/>
      </w:pPr>
      <w:r w:rsidRPr="00436E73">
        <w:t>2.4.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817E7" w:rsidRPr="00436E73" w:rsidRDefault="00B817E7">
      <w:pPr>
        <w:pStyle w:val="ConsPlusNormal"/>
        <w:spacing w:before="220"/>
        <w:ind w:firstLine="540"/>
        <w:jc w:val="both"/>
      </w:pPr>
      <w:r w:rsidRPr="00436E73">
        <w:t>1.2.5.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817E7" w:rsidRPr="00436E73" w:rsidRDefault="00B817E7">
      <w:pPr>
        <w:pStyle w:val="ConsPlusNormal"/>
        <w:spacing w:before="220"/>
        <w:ind w:firstLine="540"/>
        <w:jc w:val="both"/>
      </w:pPr>
      <w:bookmarkStart w:id="3" w:name="P58"/>
      <w:bookmarkEnd w:id="3"/>
      <w:r w:rsidRPr="00436E73">
        <w:t>1.2.6.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B817E7" w:rsidRPr="00436E73" w:rsidRDefault="00B817E7">
      <w:pPr>
        <w:pStyle w:val="ConsPlusNormal"/>
        <w:spacing w:before="220"/>
        <w:ind w:firstLine="540"/>
        <w:jc w:val="both"/>
      </w:pPr>
      <w:r w:rsidRPr="00436E73">
        <w:t>1.2.7.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B817E7" w:rsidRPr="00436E73" w:rsidRDefault="00B817E7">
      <w:pPr>
        <w:pStyle w:val="ConsPlusNormal"/>
        <w:spacing w:before="220"/>
        <w:ind w:firstLine="540"/>
        <w:jc w:val="both"/>
      </w:pPr>
      <w:r w:rsidRPr="00436E73">
        <w:lastRenderedPageBreak/>
        <w:t>1.2.8.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B817E7" w:rsidRPr="00436E73" w:rsidRDefault="00B817E7">
      <w:pPr>
        <w:pStyle w:val="ConsPlusNormal"/>
        <w:spacing w:before="220"/>
        <w:ind w:firstLine="540"/>
        <w:jc w:val="both"/>
      </w:pPr>
      <w:bookmarkStart w:id="4" w:name="P61"/>
      <w:bookmarkEnd w:id="4"/>
      <w:r w:rsidRPr="00436E73">
        <w:t>1.2.9.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B817E7" w:rsidRPr="00436E73" w:rsidRDefault="00B817E7">
      <w:pPr>
        <w:pStyle w:val="ConsPlusNormal"/>
        <w:spacing w:before="220"/>
        <w:ind w:firstLine="540"/>
        <w:jc w:val="both"/>
      </w:pPr>
      <w:r w:rsidRPr="00436E73">
        <w:t>1.2.10. Распространение наружной рекламы с использованием рекламных конструкций;</w:t>
      </w:r>
    </w:p>
    <w:p w:rsidR="00B817E7" w:rsidRPr="00436E73" w:rsidRDefault="00B817E7">
      <w:pPr>
        <w:pStyle w:val="ConsPlusNormal"/>
        <w:spacing w:before="220"/>
        <w:ind w:firstLine="540"/>
        <w:jc w:val="both"/>
      </w:pPr>
      <w:r w:rsidRPr="00436E73">
        <w:t>1.2.11. Размещение рекламы с использованием внешних и внутренних поверхностей транспортных средств;</w:t>
      </w:r>
    </w:p>
    <w:p w:rsidR="00B817E7" w:rsidRPr="00436E73" w:rsidRDefault="00B817E7">
      <w:pPr>
        <w:pStyle w:val="ConsPlusNormal"/>
        <w:spacing w:before="220"/>
        <w:ind w:firstLine="540"/>
        <w:jc w:val="both"/>
      </w:pPr>
      <w:r w:rsidRPr="00436E73">
        <w:t>1.2.12.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817E7" w:rsidRPr="00436E73" w:rsidRDefault="00B817E7">
      <w:pPr>
        <w:pStyle w:val="ConsPlusNormal"/>
        <w:spacing w:before="220"/>
        <w:ind w:firstLine="540"/>
        <w:jc w:val="both"/>
      </w:pPr>
      <w:r w:rsidRPr="00436E73">
        <w:t>1.2.13.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817E7" w:rsidRPr="00436E73" w:rsidRDefault="00B817E7">
      <w:pPr>
        <w:pStyle w:val="ConsPlusNormal"/>
        <w:spacing w:before="220"/>
        <w:ind w:firstLine="540"/>
        <w:jc w:val="both"/>
      </w:pPr>
      <w:bookmarkStart w:id="5" w:name="P66"/>
      <w:bookmarkEnd w:id="5"/>
      <w:r w:rsidRPr="00436E73">
        <w:t>1.2.14.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B817E7" w:rsidRPr="00436E73" w:rsidRDefault="00B817E7">
      <w:pPr>
        <w:pStyle w:val="ConsPlusNormal"/>
        <w:spacing w:before="220"/>
        <w:ind w:firstLine="540"/>
        <w:jc w:val="both"/>
      </w:pPr>
      <w:r w:rsidRPr="00436E73">
        <w:t>1.3. Единый налог не применяется в отношении видов предпринимательской деятельности, указанных в пункте 1.2.1 - 1.2.14 настоящего Положения, в следующих случаях:</w:t>
      </w:r>
    </w:p>
    <w:p w:rsidR="00B817E7" w:rsidRPr="00436E73" w:rsidRDefault="00B817E7">
      <w:pPr>
        <w:pStyle w:val="ConsPlusNormal"/>
        <w:spacing w:before="220"/>
        <w:ind w:firstLine="540"/>
        <w:jc w:val="both"/>
      </w:pPr>
      <w:r w:rsidRPr="00436E73">
        <w:t>в случае осуществления таких видов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B817E7" w:rsidRPr="00436E73" w:rsidRDefault="00B817E7">
      <w:pPr>
        <w:pStyle w:val="ConsPlusNormal"/>
        <w:spacing w:before="220"/>
        <w:ind w:firstLine="540"/>
        <w:jc w:val="both"/>
      </w:pPr>
      <w:r w:rsidRPr="00436E73">
        <w:t>в случае осуществления таких видов деятельности налогоплательщиками, отнесенными к категории крупнейших в соответствии со статьей 83 Налогового кодекса Российской Федерации.</w:t>
      </w:r>
    </w:p>
    <w:p w:rsidR="00B817E7" w:rsidRPr="00436E73" w:rsidRDefault="00B817E7">
      <w:pPr>
        <w:pStyle w:val="ConsPlusNormal"/>
        <w:spacing w:before="280"/>
        <w:ind w:firstLine="540"/>
        <w:jc w:val="both"/>
      </w:pPr>
      <w:proofErr w:type="gramStart"/>
      <w:r w:rsidRPr="00436E73">
        <w:t>Единый налог не применяется в отношении видов предпринимательской деятельности, указанных в подпунктах 1.2.6 - 1.2.9 пункта 2 настоящего Положения, в случае, если они осуществляются организациями и индивидуальными предпринимателями, перешедшими в соответствии с главой 26.1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w:t>
      </w:r>
      <w:proofErr w:type="gramEnd"/>
      <w:r w:rsidRPr="00436E73">
        <w:t>, включая продукцию первичной переработки, произведенную ими из сельскохозяйственного сырья собственного производства.</w:t>
      </w:r>
    </w:p>
    <w:p w:rsidR="00B817E7" w:rsidRPr="00436E73" w:rsidRDefault="00B817E7">
      <w:pPr>
        <w:pStyle w:val="ConsPlusNormal"/>
        <w:spacing w:before="220"/>
        <w:ind w:firstLine="540"/>
        <w:jc w:val="both"/>
      </w:pPr>
      <w:r w:rsidRPr="00436E73">
        <w:t xml:space="preserve">1.4. </w:t>
      </w:r>
      <w:proofErr w:type="gramStart"/>
      <w:r w:rsidRPr="00436E73">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за исключением объектов недвижимого имущества, налоговая база по которым определяется как их кадастровая стоимость в соответствии с Налоговым кодексом Российской</w:t>
      </w:r>
      <w:proofErr w:type="gramEnd"/>
      <w:r w:rsidRPr="00436E73">
        <w:t xml:space="preserve"> </w:t>
      </w:r>
      <w:proofErr w:type="gramStart"/>
      <w:r w:rsidRPr="00436E73">
        <w:t>Федерации).</w:t>
      </w:r>
      <w:proofErr w:type="gramEnd"/>
    </w:p>
    <w:p w:rsidR="00B817E7" w:rsidRPr="00436E73" w:rsidRDefault="00B817E7">
      <w:pPr>
        <w:pStyle w:val="ConsPlusNormal"/>
        <w:spacing w:before="220"/>
        <w:ind w:firstLine="540"/>
        <w:jc w:val="both"/>
      </w:pPr>
      <w:proofErr w:type="gramStart"/>
      <w:r w:rsidRPr="00436E73">
        <w:lastRenderedPageBreak/>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за исключением объектов налогообложения налогом на имущество физических лиц, включенных в перечень, определяемый в соответствии с пунктом</w:t>
      </w:r>
      <w:proofErr w:type="gramEnd"/>
      <w:r w:rsidRPr="00436E73">
        <w:t xml:space="preserve"> </w:t>
      </w:r>
      <w:proofErr w:type="gramStart"/>
      <w:r w:rsidRPr="00436E73">
        <w:t>7 статьи 378.2 Налогового кодекса Российской Федерации с учетом особенностей, предусмотренных абзацем вторым пункта 10 статьи 378.2 Налогового кодекса).</w:t>
      </w:r>
      <w:proofErr w:type="gramEnd"/>
    </w:p>
    <w:p w:rsidR="00B817E7" w:rsidRPr="00436E73" w:rsidRDefault="00B817E7">
      <w:pPr>
        <w:pStyle w:val="ConsPlusNormal"/>
        <w:spacing w:before="220"/>
        <w:ind w:firstLine="540"/>
        <w:jc w:val="both"/>
      </w:pPr>
      <w:proofErr w:type="gramStart"/>
      <w:r w:rsidRPr="00436E73">
        <w:t>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главой 21 настоящего Кодекса,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настоящим Кодексом при ввозе товаров на территорию Российской Федерации.</w:t>
      </w:r>
      <w:proofErr w:type="gramEnd"/>
    </w:p>
    <w:p w:rsidR="00B817E7" w:rsidRPr="00436E73" w:rsidRDefault="00B817E7">
      <w:pPr>
        <w:pStyle w:val="ConsPlusNormal"/>
        <w:spacing w:before="220"/>
        <w:ind w:firstLine="540"/>
        <w:jc w:val="both"/>
      </w:pPr>
      <w:r w:rsidRPr="00436E73">
        <w:t>Исчисление и уплата иных налогов, сборов и страховых взносов осуществляются налогоплательщиками в соответствии с законодательством Российской Федерации о налогах и сборах.</w:t>
      </w:r>
    </w:p>
    <w:p w:rsidR="00B817E7" w:rsidRPr="00436E73" w:rsidRDefault="00B817E7">
      <w:pPr>
        <w:pStyle w:val="ConsPlusNormal"/>
        <w:spacing w:before="220"/>
        <w:ind w:firstLine="540"/>
        <w:jc w:val="both"/>
      </w:pPr>
      <w:r w:rsidRPr="00436E73">
        <w:t xml:space="preserve">1.5. Налогоплательщики обязаны соблюдать порядок ведения расчетных и кассовых операций в наличной и безналичной </w:t>
      </w:r>
      <w:proofErr w:type="gramStart"/>
      <w:r w:rsidRPr="00436E73">
        <w:t>формах</w:t>
      </w:r>
      <w:proofErr w:type="gramEnd"/>
      <w:r w:rsidRPr="00436E73">
        <w:t>, установленный в соответствии с законодательством Российской Федерации.</w:t>
      </w:r>
    </w:p>
    <w:p w:rsidR="00B817E7" w:rsidRPr="00436E73" w:rsidRDefault="00B817E7">
      <w:pPr>
        <w:pStyle w:val="ConsPlusNormal"/>
        <w:spacing w:before="220"/>
        <w:ind w:firstLine="540"/>
        <w:jc w:val="both"/>
      </w:pPr>
      <w:r w:rsidRPr="00436E73">
        <w:t>1.6. При осуществлении нескольких видов предпринимательской деятельности, подлежащих налогообложению единым налогом в соответствии с настоящей главой, учет показателей, необходимых для исчисления налога, ведется раздельно по каждому виду деятельности.</w:t>
      </w:r>
    </w:p>
    <w:p w:rsidR="00B817E7" w:rsidRPr="00436E73" w:rsidRDefault="00B817E7">
      <w:pPr>
        <w:pStyle w:val="ConsPlusNormal"/>
        <w:spacing w:before="220"/>
        <w:ind w:firstLine="540"/>
        <w:jc w:val="both"/>
      </w:pPr>
      <w:r w:rsidRPr="00436E73">
        <w:t xml:space="preserve">1.7. </w:t>
      </w:r>
      <w:proofErr w:type="gramStart"/>
      <w:r w:rsidRPr="00436E73">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r w:rsidRPr="00436E73">
        <w:t xml:space="preserve">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B817E7" w:rsidRPr="00436E73" w:rsidRDefault="00B817E7">
      <w:pPr>
        <w:pStyle w:val="ConsPlusNormal"/>
        <w:spacing w:before="220"/>
        <w:ind w:firstLine="540"/>
        <w:jc w:val="both"/>
      </w:pPr>
      <w:r w:rsidRPr="00436E73">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кодексом Российской Федерации.</w:t>
      </w:r>
    </w:p>
    <w:p w:rsidR="00B817E7" w:rsidRPr="00436E73" w:rsidRDefault="00B817E7">
      <w:pPr>
        <w:pStyle w:val="ConsPlusNormal"/>
        <w:spacing w:before="220"/>
        <w:ind w:firstLine="540"/>
        <w:jc w:val="both"/>
      </w:pPr>
      <w:r w:rsidRPr="00436E73">
        <w:t xml:space="preserve">1.8. </w:t>
      </w:r>
      <w:proofErr w:type="gramStart"/>
      <w:r w:rsidRPr="00436E73">
        <w:t>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w:t>
      </w:r>
      <w:proofErr w:type="gramEnd"/>
      <w:r w:rsidRPr="00436E73">
        <w:t xml:space="preserve">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B817E7" w:rsidRPr="00436E73" w:rsidRDefault="00B817E7">
      <w:pPr>
        <w:pStyle w:val="ConsPlusNormal"/>
        <w:spacing w:before="220"/>
        <w:ind w:firstLine="540"/>
        <w:jc w:val="both"/>
      </w:pPr>
      <w:proofErr w:type="gramStart"/>
      <w:r w:rsidRPr="00436E73">
        <w:lastRenderedPageBreak/>
        <w:t>Организации и индивидуальные предприниматели, уплачивающие единый налог, при 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главой 21 Налогового</w:t>
      </w:r>
      <w:proofErr w:type="gramEnd"/>
      <w:r w:rsidRPr="00436E73">
        <w:t xml:space="preserve"> кодекса Российской Федерации для налогоплательщиков налога на добавленную стоимость.</w:t>
      </w:r>
    </w:p>
    <w:p w:rsidR="00B817E7" w:rsidRPr="00436E73" w:rsidRDefault="00B817E7">
      <w:pPr>
        <w:pStyle w:val="ConsPlusNormal"/>
        <w:spacing w:before="220"/>
        <w:ind w:firstLine="540"/>
        <w:jc w:val="both"/>
      </w:pPr>
      <w:proofErr w:type="gramStart"/>
      <w:r w:rsidRPr="00436E73">
        <w:t xml:space="preserve">Налогоплательщики, осуществляющие виды предпринимательской деятельности, установленные пунктом 1.2 данного Положения, обязаны встать на учет в налоговых органах по месту осуществления указанной деятельности в срок не позднее пяти дней с начала осуществления этой деятельности и производить уплату единого налога, введенного в </w:t>
      </w:r>
      <w:proofErr w:type="spellStart"/>
      <w:r w:rsidRPr="00436E73">
        <w:t>Поддорском</w:t>
      </w:r>
      <w:proofErr w:type="spellEnd"/>
      <w:r w:rsidRPr="00436E73">
        <w:t xml:space="preserve"> муниципальном районе.</w:t>
      </w:r>
      <w:proofErr w:type="gramEnd"/>
    </w:p>
    <w:p w:rsidR="00B817E7" w:rsidRPr="00436E73" w:rsidRDefault="00B817E7">
      <w:pPr>
        <w:pStyle w:val="ConsPlusNormal"/>
        <w:jc w:val="both"/>
      </w:pPr>
    </w:p>
    <w:p w:rsidR="00B817E7" w:rsidRPr="00436E73" w:rsidRDefault="00B817E7">
      <w:pPr>
        <w:pStyle w:val="ConsPlusTitle"/>
        <w:jc w:val="center"/>
        <w:outlineLvl w:val="1"/>
      </w:pPr>
      <w:r w:rsidRPr="00436E73">
        <w:t>2. Объект налогообложения и налоговая база</w:t>
      </w:r>
    </w:p>
    <w:p w:rsidR="00B817E7" w:rsidRPr="00436E73" w:rsidRDefault="00B817E7">
      <w:pPr>
        <w:pStyle w:val="ConsPlusNormal"/>
        <w:jc w:val="both"/>
      </w:pPr>
    </w:p>
    <w:p w:rsidR="00B817E7" w:rsidRPr="00436E73" w:rsidRDefault="00B817E7">
      <w:pPr>
        <w:pStyle w:val="ConsPlusNormal"/>
        <w:ind w:firstLine="540"/>
        <w:jc w:val="both"/>
      </w:pPr>
      <w:r w:rsidRPr="00436E73">
        <w:t>2.1. Объектом налогообложения для применения единого налога признается вмененный доход налогоплательщика.</w:t>
      </w:r>
    </w:p>
    <w:p w:rsidR="00B817E7" w:rsidRPr="00436E73" w:rsidRDefault="00B817E7">
      <w:pPr>
        <w:pStyle w:val="ConsPlusNormal"/>
        <w:spacing w:before="220"/>
        <w:ind w:firstLine="540"/>
        <w:jc w:val="both"/>
      </w:pPr>
      <w:r w:rsidRPr="00436E73">
        <w:t>2.2.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 При этом базовая доходность корректируется (умножается) на коэффициенты К</w:t>
      </w:r>
      <w:proofErr w:type="gramStart"/>
      <w:r w:rsidRPr="00436E73">
        <w:t>1</w:t>
      </w:r>
      <w:proofErr w:type="gramEnd"/>
      <w:r w:rsidRPr="00436E73">
        <w:t>, К2.</w:t>
      </w:r>
    </w:p>
    <w:p w:rsidR="00B817E7" w:rsidRPr="00436E73" w:rsidRDefault="00B817E7">
      <w:pPr>
        <w:pStyle w:val="ConsPlusNormal"/>
        <w:spacing w:before="220"/>
        <w:ind w:firstLine="540"/>
        <w:jc w:val="both"/>
      </w:pPr>
      <w:r w:rsidRPr="00436E73">
        <w:t>2.3. Значения базовой доходности, физические показатели по видам деятельности и расчет корректирующего коэффициента К</w:t>
      </w:r>
      <w:proofErr w:type="gramStart"/>
      <w:r w:rsidRPr="00436E73">
        <w:t>1</w:t>
      </w:r>
      <w:proofErr w:type="gramEnd"/>
      <w:r w:rsidRPr="00436E73">
        <w:t xml:space="preserve"> определяются в соответствии с главой 26.3 части второй Налогового кодекса Российской Федерации.</w:t>
      </w:r>
    </w:p>
    <w:p w:rsidR="00B817E7" w:rsidRPr="00436E73" w:rsidRDefault="00B817E7">
      <w:pPr>
        <w:pStyle w:val="ConsPlusNormal"/>
        <w:spacing w:before="220"/>
        <w:ind w:firstLine="540"/>
        <w:jc w:val="both"/>
      </w:pPr>
      <w:r w:rsidRPr="00436E73">
        <w:t>2.4. Корректирующий коэффициент К</w:t>
      </w:r>
      <w:proofErr w:type="gramStart"/>
      <w:r w:rsidRPr="00436E73">
        <w:t>1</w:t>
      </w:r>
      <w:proofErr w:type="gramEnd"/>
      <w:r w:rsidRPr="00436E73">
        <w:t xml:space="preserve"> - устанавливаемый на календарный год коэффициент-дефлятор, учитывающий изменение потребительских цен на товары (работы, услуги) в Российской Федерации в предшествующем периоде. Коэффициент-дефлятор определяется и подлежит официальному опубликованию в порядке, установленном Правительством Российской Федерации.</w:t>
      </w:r>
    </w:p>
    <w:p w:rsidR="00B817E7" w:rsidRPr="00436E73" w:rsidRDefault="00B817E7">
      <w:pPr>
        <w:pStyle w:val="ConsPlusNormal"/>
        <w:spacing w:before="220"/>
        <w:ind w:firstLine="540"/>
        <w:jc w:val="both"/>
      </w:pPr>
      <w:r w:rsidRPr="00436E73">
        <w:t>2.5. Корректирующий коэффициент К</w:t>
      </w:r>
      <w:proofErr w:type="gramStart"/>
      <w:r w:rsidRPr="00436E73">
        <w:t>2</w:t>
      </w:r>
      <w:proofErr w:type="gramEnd"/>
      <w:r w:rsidRPr="00436E73">
        <w:t>, учитывающий совокупность особенностей ведения предпринимательской деятельности, определяется по формуле:</w:t>
      </w:r>
    </w:p>
    <w:p w:rsidR="00B817E7" w:rsidRPr="00436E73" w:rsidRDefault="00B817E7">
      <w:pPr>
        <w:pStyle w:val="ConsPlusNormal"/>
        <w:jc w:val="both"/>
      </w:pPr>
    </w:p>
    <w:p w:rsidR="00B817E7" w:rsidRPr="00436E73" w:rsidRDefault="00B817E7">
      <w:pPr>
        <w:pStyle w:val="ConsPlusNormal"/>
        <w:jc w:val="center"/>
      </w:pPr>
      <w:r w:rsidRPr="00436E73">
        <w:t>К</w:t>
      </w:r>
      <w:proofErr w:type="gramStart"/>
      <w:r w:rsidRPr="00436E73">
        <w:t>2</w:t>
      </w:r>
      <w:proofErr w:type="gramEnd"/>
      <w:r w:rsidRPr="00436E73">
        <w:t xml:space="preserve"> = К2д x К2а x К2р x К2м, где:</w:t>
      </w:r>
    </w:p>
    <w:p w:rsidR="00B817E7" w:rsidRPr="00436E73" w:rsidRDefault="00B817E7">
      <w:pPr>
        <w:pStyle w:val="ConsPlusNormal"/>
        <w:jc w:val="both"/>
      </w:pPr>
    </w:p>
    <w:p w:rsidR="00B817E7" w:rsidRPr="00436E73" w:rsidRDefault="00B817E7">
      <w:pPr>
        <w:pStyle w:val="ConsPlusNormal"/>
        <w:ind w:firstLine="540"/>
        <w:jc w:val="both"/>
      </w:pPr>
      <w:r w:rsidRPr="00436E73">
        <w:t>К2д - корректирующий коэффициент базовой доходности, учитывающий величину доходов определенного вида деятельности (приложение 1 к Положению);</w:t>
      </w:r>
    </w:p>
    <w:p w:rsidR="00B817E7" w:rsidRPr="00436E73" w:rsidRDefault="00B817E7">
      <w:pPr>
        <w:pStyle w:val="ConsPlusNormal"/>
        <w:spacing w:before="220"/>
        <w:ind w:firstLine="540"/>
        <w:jc w:val="both"/>
      </w:pPr>
      <w:r w:rsidRPr="00436E73">
        <w:t>К2а - корректирующий коэффициент базовой доходности, учитывающий ассортимент товаров (приложение 2 к Положению);</w:t>
      </w:r>
    </w:p>
    <w:p w:rsidR="00B817E7" w:rsidRPr="00436E73" w:rsidRDefault="00B817E7">
      <w:pPr>
        <w:pStyle w:val="ConsPlusNormal"/>
        <w:spacing w:before="220"/>
        <w:ind w:firstLine="540"/>
        <w:jc w:val="both"/>
      </w:pPr>
      <w:r w:rsidRPr="00436E73">
        <w:t>К2р - корректирующий коэффициент базовой доходности, учитывающий режим работы налогоплательщика (приложение 3 к Положению);</w:t>
      </w:r>
    </w:p>
    <w:p w:rsidR="00B817E7" w:rsidRPr="00436E73" w:rsidRDefault="00B817E7">
      <w:pPr>
        <w:pStyle w:val="ConsPlusNormal"/>
        <w:spacing w:before="220"/>
        <w:ind w:firstLine="540"/>
        <w:jc w:val="both"/>
      </w:pPr>
      <w:r w:rsidRPr="00436E73">
        <w:t>К2м - корректирующий коэффициент базовой доходности, учитывающий особенности места ведения предпринимательской деятельности (приложение 4 к Положению).</w:t>
      </w:r>
    </w:p>
    <w:p w:rsidR="00B817E7" w:rsidRPr="00436E73" w:rsidRDefault="00B817E7">
      <w:pPr>
        <w:pStyle w:val="ConsPlusNormal"/>
        <w:spacing w:before="220"/>
        <w:ind w:firstLine="540"/>
        <w:jc w:val="both"/>
      </w:pPr>
      <w:r w:rsidRPr="00436E73">
        <w:t>Значения корректирующего коэффициента К</w:t>
      </w:r>
      <w:proofErr w:type="gramStart"/>
      <w:r w:rsidRPr="00436E73">
        <w:t>2</w:t>
      </w:r>
      <w:proofErr w:type="gramEnd"/>
      <w:r w:rsidRPr="00436E73">
        <w:t xml:space="preserve"> определяются для всех категорий налогоплательщиков на календарный год и могут быть установлены в пределах от 0,005 до 1,0 </w:t>
      </w:r>
      <w:r w:rsidRPr="00436E73">
        <w:lastRenderedPageBreak/>
        <w:t>включительно.</w:t>
      </w:r>
    </w:p>
    <w:p w:rsidR="00B817E7" w:rsidRPr="00436E73" w:rsidRDefault="00B817E7">
      <w:pPr>
        <w:pStyle w:val="ConsPlusNormal"/>
        <w:spacing w:before="220"/>
        <w:ind w:firstLine="540"/>
        <w:jc w:val="both"/>
      </w:pPr>
      <w:r w:rsidRPr="00436E73">
        <w:t>В случае отсутствия в вышеуказанных приложениях к решению корректирующих коэффициентов для каких-либо видов предпринимательской деятельности, предусмотренных пунктом 1.2 настоящего Положения, значение этих коэффициентов принимается равным 1.</w:t>
      </w:r>
    </w:p>
    <w:p w:rsidR="00B817E7" w:rsidRPr="00436E73" w:rsidRDefault="00B817E7">
      <w:pPr>
        <w:pStyle w:val="ConsPlusNormal"/>
        <w:jc w:val="both"/>
      </w:pPr>
    </w:p>
    <w:p w:rsidR="00B817E7" w:rsidRPr="00436E73" w:rsidRDefault="00B817E7">
      <w:pPr>
        <w:pStyle w:val="ConsPlusTitle"/>
        <w:jc w:val="center"/>
        <w:outlineLvl w:val="1"/>
      </w:pPr>
      <w:r w:rsidRPr="00436E73">
        <w:t>3. Налоговый период</w:t>
      </w:r>
    </w:p>
    <w:p w:rsidR="00B817E7" w:rsidRPr="00436E73" w:rsidRDefault="00B817E7">
      <w:pPr>
        <w:pStyle w:val="ConsPlusNormal"/>
        <w:jc w:val="both"/>
      </w:pPr>
    </w:p>
    <w:p w:rsidR="00B817E7" w:rsidRPr="00436E73" w:rsidRDefault="00B817E7">
      <w:pPr>
        <w:pStyle w:val="ConsPlusNormal"/>
        <w:ind w:firstLine="540"/>
        <w:jc w:val="both"/>
      </w:pPr>
      <w:r w:rsidRPr="00436E73">
        <w:t>Налоговым периодом по единому налогу признается квартал.</w:t>
      </w:r>
    </w:p>
    <w:p w:rsidR="00B817E7" w:rsidRPr="00436E73" w:rsidRDefault="00B817E7">
      <w:pPr>
        <w:pStyle w:val="ConsPlusNormal"/>
        <w:jc w:val="both"/>
      </w:pPr>
    </w:p>
    <w:p w:rsidR="00B817E7" w:rsidRPr="00436E73" w:rsidRDefault="00B817E7">
      <w:pPr>
        <w:pStyle w:val="ConsPlusTitle"/>
        <w:jc w:val="center"/>
        <w:outlineLvl w:val="1"/>
      </w:pPr>
      <w:r w:rsidRPr="00436E73">
        <w:t>4. Налоговая ставка</w:t>
      </w:r>
    </w:p>
    <w:p w:rsidR="00B817E7" w:rsidRPr="00436E73" w:rsidRDefault="00B817E7">
      <w:pPr>
        <w:pStyle w:val="ConsPlusNormal"/>
        <w:jc w:val="both"/>
      </w:pPr>
    </w:p>
    <w:p w:rsidR="00B817E7" w:rsidRPr="00436E73" w:rsidRDefault="00B817E7">
      <w:pPr>
        <w:pStyle w:val="ConsPlusNormal"/>
        <w:ind w:firstLine="540"/>
        <w:jc w:val="both"/>
      </w:pPr>
      <w:r w:rsidRPr="00436E73">
        <w:t>Ставка единого налога устанавливается в размере 15 процентов величины вмененного дохода.</w:t>
      </w:r>
    </w:p>
    <w:p w:rsidR="00B817E7" w:rsidRPr="00436E73" w:rsidRDefault="00B817E7">
      <w:pPr>
        <w:pStyle w:val="ConsPlusNormal"/>
        <w:jc w:val="both"/>
      </w:pPr>
    </w:p>
    <w:p w:rsidR="00B817E7" w:rsidRPr="00436E73" w:rsidRDefault="00B817E7">
      <w:pPr>
        <w:pStyle w:val="ConsPlusTitle"/>
        <w:jc w:val="center"/>
        <w:outlineLvl w:val="1"/>
      </w:pPr>
      <w:r w:rsidRPr="00436E73">
        <w:t>5. Порядок исчисления и сроки уплаты единого налога</w:t>
      </w:r>
    </w:p>
    <w:p w:rsidR="00B817E7" w:rsidRPr="00436E73" w:rsidRDefault="00B817E7">
      <w:pPr>
        <w:pStyle w:val="ConsPlusNormal"/>
        <w:jc w:val="both"/>
      </w:pPr>
    </w:p>
    <w:p w:rsidR="00B817E7" w:rsidRPr="00436E73" w:rsidRDefault="00B817E7">
      <w:pPr>
        <w:pStyle w:val="ConsPlusNormal"/>
        <w:ind w:firstLine="540"/>
        <w:jc w:val="both"/>
      </w:pPr>
      <w:r w:rsidRPr="00436E73">
        <w:t xml:space="preserve">Уплата единого налога производится налогоплательщиком по итогам налогового периода не позднее 25-го числа первого месяца следующего налогового периода в бюджет </w:t>
      </w:r>
      <w:proofErr w:type="spellStart"/>
      <w:r w:rsidRPr="00436E73">
        <w:t>Поддорского</w:t>
      </w:r>
      <w:proofErr w:type="spellEnd"/>
      <w:r w:rsidRPr="00436E73">
        <w:t xml:space="preserve"> муниципального района в соответствии со статьей 346.32 главы 26.3 Налогового кодекса Российской Федерации.</w:t>
      </w: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right"/>
        <w:outlineLvl w:val="1"/>
      </w:pPr>
      <w:r w:rsidRPr="00436E73">
        <w:t>Приложение 1</w:t>
      </w:r>
    </w:p>
    <w:p w:rsidR="00B817E7" w:rsidRPr="00436E73" w:rsidRDefault="00B817E7">
      <w:pPr>
        <w:pStyle w:val="ConsPlusNormal"/>
        <w:jc w:val="both"/>
      </w:pPr>
    </w:p>
    <w:p w:rsidR="00B817E7" w:rsidRPr="00436E73" w:rsidRDefault="00B817E7">
      <w:pPr>
        <w:pStyle w:val="ConsPlusTitle"/>
        <w:jc w:val="center"/>
      </w:pPr>
      <w:bookmarkStart w:id="6" w:name="P120"/>
      <w:bookmarkEnd w:id="6"/>
      <w:r w:rsidRPr="00436E73">
        <w:t>КОРРЕКТИРУЮЩИЕ КОЭФФИЦИЕНТЫ БАЗОВОЙ ДОХОДНОСТИ, УЧИТЫВАЮЩИЕ</w:t>
      </w:r>
    </w:p>
    <w:p w:rsidR="00B817E7" w:rsidRPr="00436E73" w:rsidRDefault="00B817E7">
      <w:pPr>
        <w:pStyle w:val="ConsPlusTitle"/>
        <w:jc w:val="center"/>
      </w:pPr>
      <w:r w:rsidRPr="00436E73">
        <w:t>ВЕЛИЧИНУ ДОХОДОВ ОПРЕДЕЛЕННЫХ ВИДОВ ДЕЯТЕЛЬНОСТИ</w:t>
      </w:r>
    </w:p>
    <w:p w:rsidR="00B817E7" w:rsidRPr="00436E73" w:rsidRDefault="00B817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436E73" w:rsidRPr="00436E73">
        <w:tc>
          <w:tcPr>
            <w:tcW w:w="6973" w:type="dxa"/>
            <w:vAlign w:val="center"/>
          </w:tcPr>
          <w:p w:rsidR="00B817E7" w:rsidRPr="00436E73" w:rsidRDefault="00B817E7">
            <w:pPr>
              <w:pStyle w:val="ConsPlusNormal"/>
              <w:jc w:val="center"/>
            </w:pPr>
            <w:r w:rsidRPr="00436E73">
              <w:t>Виды предпринимательской деятельности</w:t>
            </w:r>
          </w:p>
        </w:tc>
        <w:tc>
          <w:tcPr>
            <w:tcW w:w="2098" w:type="dxa"/>
            <w:vAlign w:val="center"/>
          </w:tcPr>
          <w:p w:rsidR="00B817E7" w:rsidRPr="00436E73" w:rsidRDefault="00B817E7">
            <w:pPr>
              <w:pStyle w:val="ConsPlusNormal"/>
              <w:jc w:val="center"/>
            </w:pPr>
            <w:r w:rsidRPr="00436E73">
              <w:t>Корректирующий коэффициент базовой доходности, учитывающий величину доходов (К2</w:t>
            </w:r>
            <w:r w:rsidRPr="00436E73">
              <w:rPr>
                <w:vertAlign w:val="subscript"/>
              </w:rPr>
              <w:t>д</w:t>
            </w:r>
            <w:r w:rsidRPr="00436E73">
              <w:t>)</w:t>
            </w:r>
          </w:p>
        </w:tc>
      </w:tr>
      <w:tr w:rsidR="00436E73" w:rsidRPr="00436E73">
        <w:tc>
          <w:tcPr>
            <w:tcW w:w="6973" w:type="dxa"/>
            <w:vAlign w:val="center"/>
          </w:tcPr>
          <w:p w:rsidR="00B817E7" w:rsidRPr="00436E73" w:rsidRDefault="00B817E7">
            <w:pPr>
              <w:pStyle w:val="ConsPlusNormal"/>
            </w:pPr>
            <w:r w:rsidRPr="00436E73">
              <w:t>1. Оказание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tc>
        <w:tc>
          <w:tcPr>
            <w:tcW w:w="2098" w:type="dxa"/>
            <w:vAlign w:val="center"/>
          </w:tcPr>
          <w:p w:rsidR="00B817E7" w:rsidRPr="00436E73" w:rsidRDefault="00B817E7">
            <w:pPr>
              <w:pStyle w:val="ConsPlusNormal"/>
              <w:jc w:val="center"/>
            </w:pPr>
            <w:r w:rsidRPr="00436E73">
              <w:t>0,3</w:t>
            </w:r>
          </w:p>
        </w:tc>
      </w:tr>
      <w:tr w:rsidR="00436E73" w:rsidRPr="00436E73">
        <w:tc>
          <w:tcPr>
            <w:tcW w:w="6973" w:type="dxa"/>
            <w:vAlign w:val="center"/>
          </w:tcPr>
          <w:p w:rsidR="00B817E7" w:rsidRPr="00436E73" w:rsidRDefault="00B817E7">
            <w:pPr>
              <w:pStyle w:val="ConsPlusNormal"/>
            </w:pPr>
            <w:r w:rsidRPr="00436E73">
              <w:t>2. Оказание ветеринарных услуг</w:t>
            </w:r>
          </w:p>
        </w:tc>
        <w:tc>
          <w:tcPr>
            <w:tcW w:w="2098" w:type="dxa"/>
            <w:vAlign w:val="center"/>
          </w:tcPr>
          <w:p w:rsidR="00B817E7" w:rsidRPr="00436E73" w:rsidRDefault="00B817E7">
            <w:pPr>
              <w:pStyle w:val="ConsPlusNormal"/>
              <w:jc w:val="center"/>
            </w:pPr>
            <w:r w:rsidRPr="00436E73">
              <w:t>0,6</w:t>
            </w:r>
          </w:p>
        </w:tc>
      </w:tr>
      <w:tr w:rsidR="00436E73" w:rsidRPr="00436E73">
        <w:tc>
          <w:tcPr>
            <w:tcW w:w="6973" w:type="dxa"/>
            <w:vAlign w:val="center"/>
          </w:tcPr>
          <w:p w:rsidR="00B817E7" w:rsidRPr="00436E73" w:rsidRDefault="00B817E7">
            <w:pPr>
              <w:pStyle w:val="ConsPlusNormal"/>
            </w:pPr>
            <w:r w:rsidRPr="00436E73">
              <w:t>3. Оказание услуг по ремонту, техническому обслуживанию и мойке автомототранспортных средств</w:t>
            </w:r>
          </w:p>
        </w:tc>
        <w:tc>
          <w:tcPr>
            <w:tcW w:w="2098" w:type="dxa"/>
            <w:vAlign w:val="center"/>
          </w:tcPr>
          <w:p w:rsidR="00B817E7" w:rsidRPr="00436E73" w:rsidRDefault="00B817E7">
            <w:pPr>
              <w:pStyle w:val="ConsPlusNormal"/>
              <w:jc w:val="center"/>
            </w:pPr>
            <w:r w:rsidRPr="00436E73">
              <w:t>0,85</w:t>
            </w:r>
          </w:p>
        </w:tc>
      </w:tr>
      <w:tr w:rsidR="00436E73" w:rsidRPr="00436E73">
        <w:tc>
          <w:tcPr>
            <w:tcW w:w="6973" w:type="dxa"/>
            <w:vAlign w:val="center"/>
          </w:tcPr>
          <w:p w:rsidR="00B817E7" w:rsidRPr="00436E73" w:rsidRDefault="00B817E7">
            <w:pPr>
              <w:pStyle w:val="ConsPlusNormal"/>
            </w:pPr>
            <w:r w:rsidRPr="00436E73">
              <w:t xml:space="preserve">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w:t>
            </w:r>
            <w:r w:rsidRPr="00436E73">
              <w:lastRenderedPageBreak/>
              <w:t>исключением штрафных автостоянок)</w:t>
            </w:r>
          </w:p>
        </w:tc>
        <w:tc>
          <w:tcPr>
            <w:tcW w:w="2098" w:type="dxa"/>
            <w:vAlign w:val="center"/>
          </w:tcPr>
          <w:p w:rsidR="00B817E7" w:rsidRPr="00436E73" w:rsidRDefault="00B817E7">
            <w:pPr>
              <w:pStyle w:val="ConsPlusNormal"/>
              <w:jc w:val="center"/>
            </w:pPr>
            <w:r w:rsidRPr="00436E73">
              <w:lastRenderedPageBreak/>
              <w:t>0,5</w:t>
            </w:r>
          </w:p>
        </w:tc>
      </w:tr>
      <w:tr w:rsidR="00436E73" w:rsidRPr="00436E73">
        <w:tc>
          <w:tcPr>
            <w:tcW w:w="6973" w:type="dxa"/>
            <w:vAlign w:val="center"/>
          </w:tcPr>
          <w:p w:rsidR="00B817E7" w:rsidRPr="00436E73" w:rsidRDefault="00B817E7">
            <w:pPr>
              <w:pStyle w:val="ConsPlusNormal"/>
            </w:pPr>
            <w:r w:rsidRPr="00436E73">
              <w:lastRenderedPageBreak/>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2098" w:type="dxa"/>
            <w:vAlign w:val="center"/>
          </w:tcPr>
          <w:p w:rsidR="00B817E7" w:rsidRPr="00436E73" w:rsidRDefault="00B817E7">
            <w:pPr>
              <w:pStyle w:val="ConsPlusNormal"/>
              <w:jc w:val="center"/>
            </w:pPr>
            <w:r w:rsidRPr="00436E73">
              <w:t>0,9</w:t>
            </w:r>
          </w:p>
        </w:tc>
      </w:tr>
      <w:tr w:rsidR="00436E73" w:rsidRPr="00436E73">
        <w:tc>
          <w:tcPr>
            <w:tcW w:w="6973" w:type="dxa"/>
            <w:vAlign w:val="center"/>
          </w:tcPr>
          <w:p w:rsidR="00B817E7" w:rsidRPr="00436E73" w:rsidRDefault="00B817E7">
            <w:pPr>
              <w:pStyle w:val="ConsPlusNormal"/>
            </w:pPr>
            <w:r w:rsidRPr="00436E73">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098" w:type="dxa"/>
            <w:vAlign w:val="center"/>
          </w:tcPr>
          <w:p w:rsidR="00B817E7" w:rsidRPr="00436E73" w:rsidRDefault="00B817E7">
            <w:pPr>
              <w:pStyle w:val="ConsPlusNormal"/>
              <w:jc w:val="center"/>
            </w:pPr>
            <w:r w:rsidRPr="00436E73">
              <w:t>1</w:t>
            </w:r>
          </w:p>
        </w:tc>
      </w:tr>
      <w:tr w:rsidR="00436E73" w:rsidRPr="00436E73">
        <w:tc>
          <w:tcPr>
            <w:tcW w:w="6973" w:type="dxa"/>
            <w:vAlign w:val="center"/>
          </w:tcPr>
          <w:p w:rsidR="00B817E7" w:rsidRPr="00436E73" w:rsidRDefault="00B817E7">
            <w:pPr>
              <w:pStyle w:val="ConsPlusNormal"/>
            </w:pPr>
            <w:r w:rsidRPr="00436E73">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2098" w:type="dxa"/>
            <w:vAlign w:val="center"/>
          </w:tcPr>
          <w:p w:rsidR="00B817E7" w:rsidRPr="00436E73" w:rsidRDefault="00B817E7">
            <w:pPr>
              <w:pStyle w:val="ConsPlusNormal"/>
              <w:jc w:val="center"/>
            </w:pPr>
            <w:r w:rsidRPr="00436E73">
              <w:t>0,7</w:t>
            </w:r>
          </w:p>
        </w:tc>
      </w:tr>
      <w:tr w:rsidR="00436E73" w:rsidRPr="00436E73">
        <w:tc>
          <w:tcPr>
            <w:tcW w:w="6973" w:type="dxa"/>
            <w:vAlign w:val="center"/>
          </w:tcPr>
          <w:p w:rsidR="00B817E7" w:rsidRPr="00436E73" w:rsidRDefault="00B817E7">
            <w:pPr>
              <w:pStyle w:val="ConsPlusNormal"/>
            </w:pPr>
            <w:r w:rsidRPr="00436E73">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2098" w:type="dxa"/>
            <w:vAlign w:val="center"/>
          </w:tcPr>
          <w:p w:rsidR="00B817E7" w:rsidRPr="00436E73" w:rsidRDefault="00B817E7">
            <w:pPr>
              <w:pStyle w:val="ConsPlusNormal"/>
              <w:jc w:val="center"/>
            </w:pPr>
            <w:r w:rsidRPr="00436E73">
              <w:t>0,005</w:t>
            </w:r>
          </w:p>
        </w:tc>
      </w:tr>
      <w:tr w:rsidR="00436E73" w:rsidRPr="00436E73">
        <w:tc>
          <w:tcPr>
            <w:tcW w:w="6973" w:type="dxa"/>
            <w:vAlign w:val="center"/>
          </w:tcPr>
          <w:p w:rsidR="00B817E7" w:rsidRPr="00436E73" w:rsidRDefault="00B817E7">
            <w:pPr>
              <w:pStyle w:val="ConsPlusNormal"/>
            </w:pPr>
            <w:r w:rsidRPr="00436E73">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098" w:type="dxa"/>
            <w:vAlign w:val="center"/>
          </w:tcPr>
          <w:p w:rsidR="00B817E7" w:rsidRPr="00436E73" w:rsidRDefault="00B817E7">
            <w:pPr>
              <w:pStyle w:val="ConsPlusNormal"/>
              <w:jc w:val="center"/>
            </w:pPr>
            <w:r w:rsidRPr="00436E73">
              <w:t>0,75</w:t>
            </w:r>
          </w:p>
        </w:tc>
      </w:tr>
      <w:tr w:rsidR="00436E73" w:rsidRPr="00436E73">
        <w:tc>
          <w:tcPr>
            <w:tcW w:w="6973" w:type="dxa"/>
            <w:vAlign w:val="center"/>
          </w:tcPr>
          <w:p w:rsidR="00B817E7" w:rsidRPr="00436E73" w:rsidRDefault="00B817E7">
            <w:pPr>
              <w:pStyle w:val="ConsPlusNormal"/>
            </w:pPr>
            <w:r w:rsidRPr="00436E73">
              <w:t>10. Распространение наружной рекламы с использованием рекламных конструкций</w:t>
            </w:r>
          </w:p>
        </w:tc>
        <w:tc>
          <w:tcPr>
            <w:tcW w:w="2098" w:type="dxa"/>
            <w:vAlign w:val="center"/>
          </w:tcPr>
          <w:p w:rsidR="00B817E7" w:rsidRPr="00436E73" w:rsidRDefault="00B817E7">
            <w:pPr>
              <w:pStyle w:val="ConsPlusNormal"/>
              <w:jc w:val="center"/>
            </w:pPr>
            <w:r w:rsidRPr="00436E73">
              <w:t>0,15</w:t>
            </w:r>
          </w:p>
        </w:tc>
      </w:tr>
      <w:tr w:rsidR="00436E73" w:rsidRPr="00436E73">
        <w:tc>
          <w:tcPr>
            <w:tcW w:w="6973" w:type="dxa"/>
            <w:vAlign w:val="center"/>
          </w:tcPr>
          <w:p w:rsidR="00B817E7" w:rsidRPr="00436E73" w:rsidRDefault="00B817E7">
            <w:pPr>
              <w:pStyle w:val="ConsPlusNormal"/>
            </w:pPr>
            <w:r w:rsidRPr="00436E73">
              <w:t>11. Размещение рекламы с использованием внешних и внутренних поверхностей транспортных средств</w:t>
            </w:r>
          </w:p>
        </w:tc>
        <w:tc>
          <w:tcPr>
            <w:tcW w:w="2098" w:type="dxa"/>
            <w:vAlign w:val="center"/>
          </w:tcPr>
          <w:p w:rsidR="00B817E7" w:rsidRPr="00436E73" w:rsidRDefault="00B817E7">
            <w:pPr>
              <w:pStyle w:val="ConsPlusNormal"/>
              <w:jc w:val="center"/>
            </w:pPr>
            <w:r w:rsidRPr="00436E73">
              <w:t>0,2</w:t>
            </w:r>
          </w:p>
        </w:tc>
      </w:tr>
      <w:tr w:rsidR="00436E73" w:rsidRPr="00436E73">
        <w:tc>
          <w:tcPr>
            <w:tcW w:w="6973" w:type="dxa"/>
            <w:vAlign w:val="center"/>
          </w:tcPr>
          <w:p w:rsidR="00B817E7" w:rsidRPr="00436E73" w:rsidRDefault="00B817E7">
            <w:pPr>
              <w:pStyle w:val="ConsPlusNormal"/>
            </w:pPr>
            <w:r w:rsidRPr="00436E73">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98" w:type="dxa"/>
            <w:vAlign w:val="center"/>
          </w:tcPr>
          <w:p w:rsidR="00B817E7" w:rsidRPr="00436E73" w:rsidRDefault="00B817E7">
            <w:pPr>
              <w:pStyle w:val="ConsPlusNormal"/>
              <w:jc w:val="center"/>
            </w:pPr>
            <w:r w:rsidRPr="00436E73">
              <w:t>0,1</w:t>
            </w:r>
          </w:p>
        </w:tc>
      </w:tr>
      <w:tr w:rsidR="00436E73" w:rsidRPr="00436E73">
        <w:tc>
          <w:tcPr>
            <w:tcW w:w="6973" w:type="dxa"/>
            <w:vAlign w:val="center"/>
          </w:tcPr>
          <w:p w:rsidR="00B817E7" w:rsidRPr="00436E73" w:rsidRDefault="00B817E7">
            <w:pPr>
              <w:pStyle w:val="ConsPlusNormal"/>
            </w:pPr>
            <w:r w:rsidRPr="00436E73">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098" w:type="dxa"/>
            <w:vAlign w:val="center"/>
          </w:tcPr>
          <w:p w:rsidR="00B817E7" w:rsidRPr="00436E73" w:rsidRDefault="00B817E7">
            <w:pPr>
              <w:pStyle w:val="ConsPlusNormal"/>
              <w:jc w:val="center"/>
            </w:pPr>
            <w:r w:rsidRPr="00436E73">
              <w:t>0,4</w:t>
            </w:r>
          </w:p>
        </w:tc>
      </w:tr>
      <w:tr w:rsidR="00B817E7" w:rsidRPr="00436E73">
        <w:tc>
          <w:tcPr>
            <w:tcW w:w="6973" w:type="dxa"/>
            <w:vAlign w:val="center"/>
          </w:tcPr>
          <w:p w:rsidR="00B817E7" w:rsidRPr="00436E73" w:rsidRDefault="00B817E7">
            <w:pPr>
              <w:pStyle w:val="ConsPlusNormal"/>
            </w:pPr>
            <w:r w:rsidRPr="00436E73">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098" w:type="dxa"/>
            <w:vAlign w:val="center"/>
          </w:tcPr>
          <w:p w:rsidR="00B817E7" w:rsidRPr="00436E73" w:rsidRDefault="00B817E7">
            <w:pPr>
              <w:pStyle w:val="ConsPlusNormal"/>
              <w:jc w:val="center"/>
            </w:pPr>
            <w:r w:rsidRPr="00436E73">
              <w:t>0,5</w:t>
            </w:r>
          </w:p>
        </w:tc>
      </w:tr>
    </w:tbl>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Default="00B817E7">
      <w:pPr>
        <w:pStyle w:val="ConsPlusNormal"/>
        <w:jc w:val="both"/>
      </w:pPr>
    </w:p>
    <w:p w:rsidR="00436E73" w:rsidRDefault="00436E73">
      <w:pPr>
        <w:pStyle w:val="ConsPlusNormal"/>
        <w:jc w:val="both"/>
      </w:pPr>
    </w:p>
    <w:p w:rsidR="00436E73" w:rsidRDefault="00436E73">
      <w:pPr>
        <w:pStyle w:val="ConsPlusNormal"/>
        <w:jc w:val="both"/>
      </w:pPr>
    </w:p>
    <w:p w:rsidR="00436E73" w:rsidRPr="00436E73" w:rsidRDefault="00436E73">
      <w:pPr>
        <w:pStyle w:val="ConsPlusNormal"/>
        <w:jc w:val="both"/>
      </w:pPr>
    </w:p>
    <w:p w:rsidR="00B817E7" w:rsidRPr="00436E73" w:rsidRDefault="00B817E7">
      <w:pPr>
        <w:pStyle w:val="ConsPlusNormal"/>
        <w:jc w:val="right"/>
        <w:outlineLvl w:val="1"/>
      </w:pPr>
      <w:r w:rsidRPr="00436E73">
        <w:lastRenderedPageBreak/>
        <w:t>Приложение 2</w:t>
      </w:r>
    </w:p>
    <w:p w:rsidR="00B817E7" w:rsidRPr="00436E73" w:rsidRDefault="00B817E7">
      <w:pPr>
        <w:pStyle w:val="ConsPlusNormal"/>
        <w:jc w:val="both"/>
      </w:pPr>
    </w:p>
    <w:p w:rsidR="00B817E7" w:rsidRPr="00436E73" w:rsidRDefault="00B817E7">
      <w:pPr>
        <w:pStyle w:val="ConsPlusTitle"/>
        <w:jc w:val="center"/>
      </w:pPr>
      <w:bookmarkStart w:id="7" w:name="P160"/>
      <w:bookmarkEnd w:id="7"/>
      <w:r w:rsidRPr="00436E73">
        <w:t>КОРРЕКТИРУЮЩИЕ КОЭФФИЦИЕНТЫ БАЗОВОЙ ДОХОДНОСТИ,</w:t>
      </w:r>
    </w:p>
    <w:p w:rsidR="00B817E7" w:rsidRPr="00436E73" w:rsidRDefault="00B817E7">
      <w:pPr>
        <w:pStyle w:val="ConsPlusTitle"/>
        <w:jc w:val="center"/>
      </w:pPr>
      <w:proofErr w:type="gramStart"/>
      <w:r w:rsidRPr="00436E73">
        <w:t>УЧИТЫВАЮЩИЕ</w:t>
      </w:r>
      <w:proofErr w:type="gramEnd"/>
      <w:r w:rsidRPr="00436E73">
        <w:t xml:space="preserve"> АССОРТИМЕНТ ТОВАРОВ</w:t>
      </w:r>
    </w:p>
    <w:p w:rsidR="00B817E7" w:rsidRPr="00436E73" w:rsidRDefault="00B817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436E73" w:rsidRPr="00436E73">
        <w:tc>
          <w:tcPr>
            <w:tcW w:w="6973" w:type="dxa"/>
            <w:vAlign w:val="center"/>
          </w:tcPr>
          <w:p w:rsidR="00B817E7" w:rsidRPr="00436E73" w:rsidRDefault="00B817E7">
            <w:pPr>
              <w:pStyle w:val="ConsPlusNormal"/>
              <w:jc w:val="center"/>
            </w:pPr>
            <w:r w:rsidRPr="00436E73">
              <w:t>АССОРТИМЕНТ ТОВАРОВ</w:t>
            </w:r>
          </w:p>
        </w:tc>
        <w:tc>
          <w:tcPr>
            <w:tcW w:w="2098" w:type="dxa"/>
            <w:vAlign w:val="center"/>
          </w:tcPr>
          <w:p w:rsidR="00B817E7" w:rsidRPr="00436E73" w:rsidRDefault="00B817E7">
            <w:pPr>
              <w:pStyle w:val="ConsPlusNormal"/>
              <w:jc w:val="center"/>
            </w:pPr>
            <w:r w:rsidRPr="00436E73">
              <w:t>Корректирующий коэффициент (К2</w:t>
            </w:r>
            <w:r w:rsidRPr="00436E73">
              <w:rPr>
                <w:vertAlign w:val="subscript"/>
              </w:rPr>
              <w:t>а</w:t>
            </w:r>
            <w:r w:rsidRPr="00436E73">
              <w:t>)</w:t>
            </w:r>
          </w:p>
        </w:tc>
      </w:tr>
      <w:tr w:rsidR="00436E73" w:rsidRPr="00436E73">
        <w:tc>
          <w:tcPr>
            <w:tcW w:w="6973" w:type="dxa"/>
            <w:vAlign w:val="center"/>
          </w:tcPr>
          <w:p w:rsidR="00B817E7" w:rsidRPr="00436E73" w:rsidRDefault="00B817E7">
            <w:pPr>
              <w:pStyle w:val="ConsPlusNormal"/>
            </w:pPr>
            <w:r w:rsidRPr="00436E73">
              <w:t>1. Смешанная (продовольственная) группа товаров, включающая реализацию алкогольных напитков</w:t>
            </w:r>
          </w:p>
        </w:tc>
        <w:tc>
          <w:tcPr>
            <w:tcW w:w="2098" w:type="dxa"/>
            <w:vAlign w:val="center"/>
          </w:tcPr>
          <w:p w:rsidR="00B817E7" w:rsidRPr="00436E73" w:rsidRDefault="00B817E7">
            <w:pPr>
              <w:pStyle w:val="ConsPlusNormal"/>
              <w:jc w:val="center"/>
            </w:pPr>
            <w:r w:rsidRPr="00436E73">
              <w:t>0,85</w:t>
            </w:r>
          </w:p>
        </w:tc>
      </w:tr>
      <w:tr w:rsidR="00436E73" w:rsidRPr="00436E73">
        <w:tc>
          <w:tcPr>
            <w:tcW w:w="6973" w:type="dxa"/>
            <w:vAlign w:val="center"/>
          </w:tcPr>
          <w:p w:rsidR="00B817E7" w:rsidRPr="00436E73" w:rsidRDefault="00B817E7">
            <w:pPr>
              <w:pStyle w:val="ConsPlusNormal"/>
            </w:pPr>
            <w:r w:rsidRPr="00436E73">
              <w:t>2. Смешанная группа товаров без реализации алкогольных напитков</w:t>
            </w:r>
          </w:p>
        </w:tc>
        <w:tc>
          <w:tcPr>
            <w:tcW w:w="2098" w:type="dxa"/>
            <w:vAlign w:val="center"/>
          </w:tcPr>
          <w:p w:rsidR="00B817E7" w:rsidRPr="00436E73" w:rsidRDefault="00B817E7">
            <w:pPr>
              <w:pStyle w:val="ConsPlusNormal"/>
              <w:jc w:val="center"/>
            </w:pPr>
            <w:r w:rsidRPr="00436E73">
              <w:t>0,6</w:t>
            </w:r>
          </w:p>
        </w:tc>
      </w:tr>
      <w:tr w:rsidR="00436E73" w:rsidRPr="00436E73">
        <w:tc>
          <w:tcPr>
            <w:tcW w:w="6973" w:type="dxa"/>
            <w:vAlign w:val="center"/>
          </w:tcPr>
          <w:p w:rsidR="00B817E7" w:rsidRPr="00436E73" w:rsidRDefault="00B817E7">
            <w:pPr>
              <w:pStyle w:val="ConsPlusNormal"/>
            </w:pPr>
            <w:r w:rsidRPr="00436E73">
              <w:t>3. Продовольственная группа товаров, включающая реализацию алкогольных напитков</w:t>
            </w:r>
          </w:p>
        </w:tc>
        <w:tc>
          <w:tcPr>
            <w:tcW w:w="2098" w:type="dxa"/>
            <w:vAlign w:val="center"/>
          </w:tcPr>
          <w:p w:rsidR="00B817E7" w:rsidRPr="00436E73" w:rsidRDefault="00B817E7">
            <w:pPr>
              <w:pStyle w:val="ConsPlusNormal"/>
              <w:jc w:val="center"/>
            </w:pPr>
            <w:r w:rsidRPr="00436E73">
              <w:t>0,6</w:t>
            </w:r>
          </w:p>
        </w:tc>
      </w:tr>
      <w:tr w:rsidR="00436E73" w:rsidRPr="00436E73">
        <w:tc>
          <w:tcPr>
            <w:tcW w:w="6973" w:type="dxa"/>
            <w:vAlign w:val="center"/>
          </w:tcPr>
          <w:p w:rsidR="00B817E7" w:rsidRPr="00436E73" w:rsidRDefault="00B817E7">
            <w:pPr>
              <w:pStyle w:val="ConsPlusNormal"/>
            </w:pPr>
            <w:r w:rsidRPr="00436E73">
              <w:t>4. Продовольственная группа товаров без реализации алкогольных напитков</w:t>
            </w:r>
          </w:p>
        </w:tc>
        <w:tc>
          <w:tcPr>
            <w:tcW w:w="2098" w:type="dxa"/>
            <w:vAlign w:val="center"/>
          </w:tcPr>
          <w:p w:rsidR="00B817E7" w:rsidRPr="00436E73" w:rsidRDefault="00B817E7">
            <w:pPr>
              <w:pStyle w:val="ConsPlusNormal"/>
              <w:jc w:val="center"/>
            </w:pPr>
            <w:r w:rsidRPr="00436E73">
              <w:t>0,5</w:t>
            </w:r>
          </w:p>
        </w:tc>
      </w:tr>
      <w:tr w:rsidR="00436E73" w:rsidRPr="00436E73">
        <w:tc>
          <w:tcPr>
            <w:tcW w:w="6973" w:type="dxa"/>
            <w:vAlign w:val="center"/>
          </w:tcPr>
          <w:p w:rsidR="00B817E7" w:rsidRPr="00436E73" w:rsidRDefault="00B817E7">
            <w:pPr>
              <w:pStyle w:val="ConsPlusNormal"/>
            </w:pPr>
            <w:r w:rsidRPr="00436E73">
              <w:t>5. Запасные части к автомототехнике</w:t>
            </w:r>
          </w:p>
        </w:tc>
        <w:tc>
          <w:tcPr>
            <w:tcW w:w="2098" w:type="dxa"/>
            <w:vAlign w:val="center"/>
          </w:tcPr>
          <w:p w:rsidR="00B817E7" w:rsidRPr="00436E73" w:rsidRDefault="00B817E7">
            <w:pPr>
              <w:pStyle w:val="ConsPlusNormal"/>
              <w:jc w:val="center"/>
            </w:pPr>
            <w:r w:rsidRPr="00436E73">
              <w:t>1,0</w:t>
            </w:r>
          </w:p>
        </w:tc>
      </w:tr>
      <w:tr w:rsidR="00436E73" w:rsidRPr="00436E73">
        <w:tc>
          <w:tcPr>
            <w:tcW w:w="6973" w:type="dxa"/>
            <w:vAlign w:val="center"/>
          </w:tcPr>
          <w:p w:rsidR="00B817E7" w:rsidRPr="00436E73" w:rsidRDefault="00B817E7">
            <w:pPr>
              <w:pStyle w:val="ConsPlusNormal"/>
            </w:pPr>
            <w:r w:rsidRPr="00436E73">
              <w:t>6. Оружие и ювелирные изделия</w:t>
            </w:r>
          </w:p>
        </w:tc>
        <w:tc>
          <w:tcPr>
            <w:tcW w:w="2098" w:type="dxa"/>
            <w:vAlign w:val="center"/>
          </w:tcPr>
          <w:p w:rsidR="00B817E7" w:rsidRPr="00436E73" w:rsidRDefault="00B817E7">
            <w:pPr>
              <w:pStyle w:val="ConsPlusNormal"/>
              <w:jc w:val="center"/>
            </w:pPr>
            <w:r w:rsidRPr="00436E73">
              <w:t>1,0</w:t>
            </w:r>
          </w:p>
        </w:tc>
      </w:tr>
      <w:tr w:rsidR="00436E73" w:rsidRPr="00436E73">
        <w:tc>
          <w:tcPr>
            <w:tcW w:w="6973" w:type="dxa"/>
            <w:vAlign w:val="center"/>
          </w:tcPr>
          <w:p w:rsidR="00B817E7" w:rsidRPr="00436E73" w:rsidRDefault="00B817E7">
            <w:pPr>
              <w:pStyle w:val="ConsPlusNormal"/>
            </w:pPr>
            <w:r w:rsidRPr="00436E73">
              <w:t>7. Верхняя одежда и головные уборы из натуральной кожи и натурального меха</w:t>
            </w:r>
          </w:p>
        </w:tc>
        <w:tc>
          <w:tcPr>
            <w:tcW w:w="2098" w:type="dxa"/>
            <w:vAlign w:val="center"/>
          </w:tcPr>
          <w:p w:rsidR="00B817E7" w:rsidRPr="00436E73" w:rsidRDefault="00B817E7">
            <w:pPr>
              <w:pStyle w:val="ConsPlusNormal"/>
              <w:jc w:val="center"/>
            </w:pPr>
            <w:r w:rsidRPr="00436E73">
              <w:t>1,0</w:t>
            </w:r>
          </w:p>
        </w:tc>
      </w:tr>
      <w:tr w:rsidR="00436E73" w:rsidRPr="00436E73">
        <w:tc>
          <w:tcPr>
            <w:tcW w:w="6973" w:type="dxa"/>
            <w:vAlign w:val="center"/>
          </w:tcPr>
          <w:p w:rsidR="00B817E7" w:rsidRPr="00436E73" w:rsidRDefault="00B817E7">
            <w:pPr>
              <w:pStyle w:val="ConsPlusNormal"/>
            </w:pPr>
            <w:r w:rsidRPr="00436E73">
              <w:t>8. Бытовая техника, оргтехника, радио- и видеотехника</w:t>
            </w:r>
          </w:p>
        </w:tc>
        <w:tc>
          <w:tcPr>
            <w:tcW w:w="2098" w:type="dxa"/>
            <w:vAlign w:val="center"/>
          </w:tcPr>
          <w:p w:rsidR="00B817E7" w:rsidRPr="00436E73" w:rsidRDefault="00B817E7">
            <w:pPr>
              <w:pStyle w:val="ConsPlusNormal"/>
              <w:jc w:val="center"/>
            </w:pPr>
            <w:r w:rsidRPr="00436E73">
              <w:t>0,8</w:t>
            </w:r>
          </w:p>
        </w:tc>
      </w:tr>
      <w:tr w:rsidR="00436E73" w:rsidRPr="00436E73">
        <w:tc>
          <w:tcPr>
            <w:tcW w:w="6973" w:type="dxa"/>
            <w:vAlign w:val="center"/>
          </w:tcPr>
          <w:p w:rsidR="00B817E7" w:rsidRPr="00436E73" w:rsidRDefault="00B817E7">
            <w:pPr>
              <w:pStyle w:val="ConsPlusNormal"/>
            </w:pPr>
            <w:r w:rsidRPr="00436E73">
              <w:t>9. Электроинструменты</w:t>
            </w:r>
          </w:p>
        </w:tc>
        <w:tc>
          <w:tcPr>
            <w:tcW w:w="2098" w:type="dxa"/>
            <w:vAlign w:val="center"/>
          </w:tcPr>
          <w:p w:rsidR="00B817E7" w:rsidRPr="00436E73" w:rsidRDefault="00B817E7">
            <w:pPr>
              <w:pStyle w:val="ConsPlusNormal"/>
              <w:jc w:val="center"/>
            </w:pPr>
            <w:r w:rsidRPr="00436E73">
              <w:t>0,7</w:t>
            </w:r>
          </w:p>
        </w:tc>
      </w:tr>
      <w:tr w:rsidR="00436E73" w:rsidRPr="00436E73">
        <w:tc>
          <w:tcPr>
            <w:tcW w:w="6973" w:type="dxa"/>
            <w:vAlign w:val="center"/>
          </w:tcPr>
          <w:p w:rsidR="00B817E7" w:rsidRPr="00436E73" w:rsidRDefault="00B817E7">
            <w:pPr>
              <w:pStyle w:val="ConsPlusNormal"/>
            </w:pPr>
            <w:r w:rsidRPr="00436E73">
              <w:t>10. Детские товары, за исключением игрушек</w:t>
            </w:r>
          </w:p>
        </w:tc>
        <w:tc>
          <w:tcPr>
            <w:tcW w:w="2098" w:type="dxa"/>
            <w:vAlign w:val="center"/>
          </w:tcPr>
          <w:p w:rsidR="00B817E7" w:rsidRPr="00436E73" w:rsidRDefault="00B817E7">
            <w:pPr>
              <w:pStyle w:val="ConsPlusNormal"/>
              <w:jc w:val="center"/>
            </w:pPr>
            <w:r w:rsidRPr="00436E73">
              <w:t>0,3</w:t>
            </w:r>
          </w:p>
        </w:tc>
      </w:tr>
      <w:tr w:rsidR="00436E73" w:rsidRPr="00436E73">
        <w:tc>
          <w:tcPr>
            <w:tcW w:w="6973" w:type="dxa"/>
            <w:vAlign w:val="center"/>
          </w:tcPr>
          <w:p w:rsidR="00B817E7" w:rsidRPr="00436E73" w:rsidRDefault="00B817E7">
            <w:pPr>
              <w:pStyle w:val="ConsPlusNormal"/>
            </w:pPr>
            <w:r w:rsidRPr="00436E73">
              <w:t>11. Учебная литература, школьно-письменные и канцелярские товары</w:t>
            </w:r>
          </w:p>
        </w:tc>
        <w:tc>
          <w:tcPr>
            <w:tcW w:w="2098" w:type="dxa"/>
            <w:vAlign w:val="center"/>
          </w:tcPr>
          <w:p w:rsidR="00B817E7" w:rsidRPr="00436E73" w:rsidRDefault="00B817E7">
            <w:pPr>
              <w:pStyle w:val="ConsPlusNormal"/>
              <w:jc w:val="center"/>
            </w:pPr>
            <w:r w:rsidRPr="00436E73">
              <w:t>0,3</w:t>
            </w:r>
          </w:p>
        </w:tc>
      </w:tr>
      <w:tr w:rsidR="00436E73" w:rsidRPr="00436E73">
        <w:tc>
          <w:tcPr>
            <w:tcW w:w="6973" w:type="dxa"/>
            <w:vAlign w:val="center"/>
          </w:tcPr>
          <w:p w:rsidR="00B817E7" w:rsidRPr="00436E73" w:rsidRDefault="00B817E7">
            <w:pPr>
              <w:pStyle w:val="ConsPlusNormal"/>
            </w:pPr>
            <w:r w:rsidRPr="00436E73">
              <w:t>12. Товары, бывшие в употреблении, включая товары группы "</w:t>
            </w:r>
            <w:proofErr w:type="spellStart"/>
            <w:r w:rsidRPr="00436E73">
              <w:t>Second</w:t>
            </w:r>
            <w:proofErr w:type="spellEnd"/>
            <w:r w:rsidRPr="00436E73">
              <w:t xml:space="preserve"> </w:t>
            </w:r>
            <w:proofErr w:type="spellStart"/>
            <w:r w:rsidRPr="00436E73">
              <w:t>hand</w:t>
            </w:r>
            <w:proofErr w:type="spellEnd"/>
            <w:r w:rsidRPr="00436E73">
              <w:t>", кроме антиквариата, ювелирных изделий, запасных частей к автомототехнике</w:t>
            </w:r>
          </w:p>
        </w:tc>
        <w:tc>
          <w:tcPr>
            <w:tcW w:w="2098" w:type="dxa"/>
            <w:vAlign w:val="center"/>
          </w:tcPr>
          <w:p w:rsidR="00B817E7" w:rsidRPr="00436E73" w:rsidRDefault="00B817E7">
            <w:pPr>
              <w:pStyle w:val="ConsPlusNormal"/>
              <w:jc w:val="center"/>
            </w:pPr>
            <w:r w:rsidRPr="00436E73">
              <w:t>0,25</w:t>
            </w:r>
          </w:p>
        </w:tc>
      </w:tr>
      <w:tr w:rsidR="00436E73" w:rsidRPr="00436E73">
        <w:tc>
          <w:tcPr>
            <w:tcW w:w="6973" w:type="dxa"/>
            <w:vAlign w:val="center"/>
          </w:tcPr>
          <w:p w:rsidR="00B817E7" w:rsidRPr="00436E73" w:rsidRDefault="00B817E7">
            <w:pPr>
              <w:pStyle w:val="ConsPlusNormal"/>
            </w:pPr>
            <w:r w:rsidRPr="00436E73">
              <w:t>13. Керосин</w:t>
            </w:r>
          </w:p>
        </w:tc>
        <w:tc>
          <w:tcPr>
            <w:tcW w:w="2098" w:type="dxa"/>
            <w:vAlign w:val="center"/>
          </w:tcPr>
          <w:p w:rsidR="00B817E7" w:rsidRPr="00436E73" w:rsidRDefault="00B817E7">
            <w:pPr>
              <w:pStyle w:val="ConsPlusNormal"/>
              <w:jc w:val="center"/>
            </w:pPr>
            <w:r w:rsidRPr="00436E73">
              <w:t>0,25</w:t>
            </w:r>
          </w:p>
        </w:tc>
      </w:tr>
      <w:tr w:rsidR="00436E73" w:rsidRPr="00436E73">
        <w:tc>
          <w:tcPr>
            <w:tcW w:w="6973" w:type="dxa"/>
            <w:vAlign w:val="center"/>
          </w:tcPr>
          <w:p w:rsidR="00B817E7" w:rsidRPr="00436E73" w:rsidRDefault="00B817E7">
            <w:pPr>
              <w:pStyle w:val="ConsPlusNormal"/>
            </w:pPr>
            <w:r w:rsidRPr="00436E73">
              <w:t>14. Литература и атрибутика религиозного направления</w:t>
            </w:r>
          </w:p>
        </w:tc>
        <w:tc>
          <w:tcPr>
            <w:tcW w:w="2098" w:type="dxa"/>
            <w:vAlign w:val="center"/>
          </w:tcPr>
          <w:p w:rsidR="00B817E7" w:rsidRPr="00436E73" w:rsidRDefault="00B817E7">
            <w:pPr>
              <w:pStyle w:val="ConsPlusNormal"/>
              <w:jc w:val="center"/>
            </w:pPr>
            <w:r w:rsidRPr="00436E73">
              <w:t>0,25</w:t>
            </w:r>
          </w:p>
        </w:tc>
      </w:tr>
      <w:tr w:rsidR="00B817E7" w:rsidRPr="00436E73">
        <w:tc>
          <w:tcPr>
            <w:tcW w:w="6973" w:type="dxa"/>
            <w:vAlign w:val="center"/>
          </w:tcPr>
          <w:p w:rsidR="00B817E7" w:rsidRPr="00436E73" w:rsidRDefault="00B817E7">
            <w:pPr>
              <w:pStyle w:val="ConsPlusNormal"/>
            </w:pPr>
            <w:r w:rsidRPr="00436E73">
              <w:t>15. Прочая промышленная группа товаров</w:t>
            </w:r>
          </w:p>
        </w:tc>
        <w:tc>
          <w:tcPr>
            <w:tcW w:w="2098" w:type="dxa"/>
            <w:vAlign w:val="center"/>
          </w:tcPr>
          <w:p w:rsidR="00B817E7" w:rsidRPr="00436E73" w:rsidRDefault="00B817E7">
            <w:pPr>
              <w:pStyle w:val="ConsPlusNormal"/>
              <w:jc w:val="center"/>
            </w:pPr>
            <w:r w:rsidRPr="00436E73">
              <w:t>0,5</w:t>
            </w:r>
          </w:p>
        </w:tc>
      </w:tr>
    </w:tbl>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436E73" w:rsidRDefault="00436E73">
      <w:pPr>
        <w:rPr>
          <w:rFonts w:ascii="Calibri" w:eastAsia="Times New Roman" w:hAnsi="Calibri" w:cs="Calibri"/>
          <w:szCs w:val="20"/>
          <w:lang w:eastAsia="ru-RU"/>
        </w:rPr>
      </w:pPr>
      <w:r>
        <w:br w:type="page"/>
      </w:r>
    </w:p>
    <w:p w:rsidR="00B817E7" w:rsidRPr="00436E73" w:rsidRDefault="00B817E7">
      <w:pPr>
        <w:pStyle w:val="ConsPlusNormal"/>
        <w:jc w:val="right"/>
        <w:outlineLvl w:val="1"/>
      </w:pPr>
      <w:r w:rsidRPr="00436E73">
        <w:lastRenderedPageBreak/>
        <w:t>Приложение 3</w:t>
      </w:r>
    </w:p>
    <w:p w:rsidR="00B817E7" w:rsidRPr="00436E73" w:rsidRDefault="00B817E7">
      <w:pPr>
        <w:pStyle w:val="ConsPlusNormal"/>
        <w:jc w:val="both"/>
      </w:pPr>
    </w:p>
    <w:p w:rsidR="00B817E7" w:rsidRPr="00436E73" w:rsidRDefault="00B817E7">
      <w:pPr>
        <w:pStyle w:val="ConsPlusTitle"/>
        <w:jc w:val="center"/>
      </w:pPr>
      <w:bookmarkStart w:id="8" w:name="P202"/>
      <w:bookmarkEnd w:id="8"/>
      <w:r w:rsidRPr="00436E73">
        <w:t>КОРРЕКТИРУЮЩИЕ КОЭФФИЦИЕНТЫ БАЗОВОЙ ДОХОДНОСТИ,</w:t>
      </w:r>
    </w:p>
    <w:p w:rsidR="00B817E7" w:rsidRPr="00436E73" w:rsidRDefault="00B817E7">
      <w:pPr>
        <w:pStyle w:val="ConsPlusTitle"/>
        <w:jc w:val="center"/>
      </w:pPr>
      <w:r w:rsidRPr="00436E73">
        <w:t>УЧИТЫВАЮЩИЕ ВРЕМЯ РАБОТЫ НАЛОГОПЛАТЕЛЬЩИКА</w:t>
      </w:r>
    </w:p>
    <w:p w:rsidR="00B817E7" w:rsidRPr="00436E73" w:rsidRDefault="00B817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436E73" w:rsidRPr="00436E73">
        <w:tc>
          <w:tcPr>
            <w:tcW w:w="6973" w:type="dxa"/>
            <w:tcBorders>
              <w:top w:val="single" w:sz="4" w:space="0" w:color="auto"/>
              <w:bottom w:val="single" w:sz="4" w:space="0" w:color="auto"/>
            </w:tcBorders>
          </w:tcPr>
          <w:p w:rsidR="00B817E7" w:rsidRPr="00436E73" w:rsidRDefault="00B817E7">
            <w:pPr>
              <w:pStyle w:val="ConsPlusNormal"/>
            </w:pPr>
          </w:p>
        </w:tc>
        <w:tc>
          <w:tcPr>
            <w:tcW w:w="2098" w:type="dxa"/>
            <w:tcBorders>
              <w:top w:val="single" w:sz="4" w:space="0" w:color="auto"/>
              <w:bottom w:val="single" w:sz="4" w:space="0" w:color="auto"/>
            </w:tcBorders>
          </w:tcPr>
          <w:p w:rsidR="00B817E7" w:rsidRPr="00436E73" w:rsidRDefault="00B817E7">
            <w:pPr>
              <w:pStyle w:val="ConsPlusNormal"/>
              <w:jc w:val="center"/>
            </w:pPr>
            <w:r w:rsidRPr="00436E73">
              <w:t>Корректирующий коэффициент (К2</w:t>
            </w:r>
            <w:r w:rsidRPr="00436E73">
              <w:rPr>
                <w:vertAlign w:val="subscript"/>
              </w:rPr>
              <w:t>р</w:t>
            </w:r>
            <w:r w:rsidRPr="00436E73">
              <w:t>)</w:t>
            </w:r>
          </w:p>
        </w:tc>
      </w:tr>
      <w:tr w:rsidR="00436E73" w:rsidRPr="00436E73">
        <w:tblPrEx>
          <w:tblBorders>
            <w:insideH w:val="none" w:sz="0" w:space="0" w:color="auto"/>
          </w:tblBorders>
        </w:tblPrEx>
        <w:tc>
          <w:tcPr>
            <w:tcW w:w="6973" w:type="dxa"/>
            <w:tcBorders>
              <w:top w:val="single" w:sz="4" w:space="0" w:color="auto"/>
              <w:bottom w:val="nil"/>
            </w:tcBorders>
          </w:tcPr>
          <w:p w:rsidR="00B817E7" w:rsidRPr="00436E73" w:rsidRDefault="00B817E7">
            <w:pPr>
              <w:pStyle w:val="ConsPlusNormal"/>
            </w:pPr>
            <w:r w:rsidRPr="00436E73">
              <w:t>Продолжительность работы в течение суток:</w:t>
            </w:r>
          </w:p>
        </w:tc>
        <w:tc>
          <w:tcPr>
            <w:tcW w:w="2098" w:type="dxa"/>
            <w:tcBorders>
              <w:top w:val="single" w:sz="4" w:space="0" w:color="auto"/>
              <w:bottom w:val="nil"/>
            </w:tcBorders>
          </w:tcPr>
          <w:p w:rsidR="00B817E7" w:rsidRPr="00436E73" w:rsidRDefault="00B817E7">
            <w:pPr>
              <w:pStyle w:val="ConsPlusNormal"/>
            </w:pPr>
          </w:p>
        </w:tc>
      </w:tr>
      <w:tr w:rsidR="00436E73" w:rsidRPr="00436E73">
        <w:tblPrEx>
          <w:tblBorders>
            <w:insideH w:val="none" w:sz="0" w:space="0" w:color="auto"/>
          </w:tblBorders>
        </w:tblPrEx>
        <w:tc>
          <w:tcPr>
            <w:tcW w:w="6973" w:type="dxa"/>
            <w:tcBorders>
              <w:top w:val="nil"/>
              <w:bottom w:val="nil"/>
            </w:tcBorders>
          </w:tcPr>
          <w:p w:rsidR="00B817E7" w:rsidRPr="00436E73" w:rsidRDefault="00B817E7">
            <w:pPr>
              <w:pStyle w:val="ConsPlusNormal"/>
            </w:pPr>
            <w:r w:rsidRPr="00436E73">
              <w:t>12 часов и менее</w:t>
            </w:r>
          </w:p>
        </w:tc>
        <w:tc>
          <w:tcPr>
            <w:tcW w:w="2098" w:type="dxa"/>
            <w:tcBorders>
              <w:top w:val="nil"/>
              <w:bottom w:val="nil"/>
            </w:tcBorders>
          </w:tcPr>
          <w:p w:rsidR="00B817E7" w:rsidRPr="00436E73" w:rsidRDefault="00B817E7">
            <w:pPr>
              <w:pStyle w:val="ConsPlusNormal"/>
            </w:pPr>
            <w:r w:rsidRPr="00436E73">
              <w:t>0,9</w:t>
            </w:r>
          </w:p>
        </w:tc>
      </w:tr>
      <w:tr w:rsidR="00B817E7" w:rsidRPr="00436E73">
        <w:tblPrEx>
          <w:tblBorders>
            <w:insideH w:val="none" w:sz="0" w:space="0" w:color="auto"/>
          </w:tblBorders>
        </w:tblPrEx>
        <w:tc>
          <w:tcPr>
            <w:tcW w:w="6973" w:type="dxa"/>
            <w:tcBorders>
              <w:top w:val="nil"/>
              <w:bottom w:val="single" w:sz="4" w:space="0" w:color="auto"/>
            </w:tcBorders>
          </w:tcPr>
          <w:p w:rsidR="00B817E7" w:rsidRPr="00436E73" w:rsidRDefault="00B817E7">
            <w:pPr>
              <w:pStyle w:val="ConsPlusNormal"/>
            </w:pPr>
            <w:r w:rsidRPr="00436E73">
              <w:t>более 12 часов</w:t>
            </w:r>
          </w:p>
        </w:tc>
        <w:tc>
          <w:tcPr>
            <w:tcW w:w="2098" w:type="dxa"/>
            <w:tcBorders>
              <w:top w:val="nil"/>
              <w:bottom w:val="single" w:sz="4" w:space="0" w:color="auto"/>
            </w:tcBorders>
          </w:tcPr>
          <w:p w:rsidR="00B817E7" w:rsidRPr="00436E73" w:rsidRDefault="00B817E7">
            <w:pPr>
              <w:pStyle w:val="ConsPlusNormal"/>
            </w:pPr>
            <w:r w:rsidRPr="00436E73">
              <w:t>1,0</w:t>
            </w:r>
          </w:p>
        </w:tc>
      </w:tr>
    </w:tbl>
    <w:p w:rsidR="00B817E7" w:rsidRPr="00436E73" w:rsidRDefault="00B817E7">
      <w:pPr>
        <w:pStyle w:val="ConsPlusNormal"/>
        <w:jc w:val="both"/>
      </w:pPr>
    </w:p>
    <w:p w:rsidR="00B817E7" w:rsidRPr="00436E73" w:rsidRDefault="00B817E7">
      <w:pPr>
        <w:pStyle w:val="ConsPlusNormal"/>
        <w:ind w:firstLine="540"/>
        <w:jc w:val="both"/>
      </w:pPr>
      <w:r w:rsidRPr="00436E73">
        <w:t>Корректирующие коэффициенты применяются при осуществлении розничной торговли через объекты стационарной торговой сети и при оказании услуг общественного питания.</w:t>
      </w: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right"/>
        <w:outlineLvl w:val="1"/>
      </w:pPr>
      <w:r w:rsidRPr="00436E73">
        <w:t>Приложение 4</w:t>
      </w:r>
    </w:p>
    <w:p w:rsidR="00B817E7" w:rsidRPr="00436E73" w:rsidRDefault="00B817E7">
      <w:pPr>
        <w:pStyle w:val="ConsPlusNormal"/>
        <w:jc w:val="both"/>
      </w:pPr>
    </w:p>
    <w:p w:rsidR="00B817E7" w:rsidRPr="00436E73" w:rsidRDefault="00B817E7">
      <w:pPr>
        <w:pStyle w:val="ConsPlusTitle"/>
        <w:jc w:val="center"/>
      </w:pPr>
      <w:bookmarkStart w:id="9" w:name="P222"/>
      <w:bookmarkEnd w:id="9"/>
      <w:r w:rsidRPr="00436E73">
        <w:t>КОРРЕКТИРУЮЩИЕ КОЭФФИЦИЕНТЫ, УЧИТЫВАЮЩИЕ ОСОБЕННОСТИ</w:t>
      </w:r>
    </w:p>
    <w:p w:rsidR="00B817E7" w:rsidRPr="00436E73" w:rsidRDefault="00B817E7">
      <w:pPr>
        <w:pStyle w:val="ConsPlusTitle"/>
        <w:jc w:val="center"/>
      </w:pPr>
      <w:r w:rsidRPr="00436E73">
        <w:t>МЕСТА ВЕДЕНИЯ ПРЕДПРИНИМАТЕЛЬСКОЙ ДЕЯТЕЛЬНОСТИ</w:t>
      </w:r>
    </w:p>
    <w:p w:rsidR="00B817E7" w:rsidRPr="00436E73" w:rsidRDefault="00B817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92"/>
        <w:gridCol w:w="2835"/>
        <w:gridCol w:w="2494"/>
      </w:tblGrid>
      <w:tr w:rsidR="00436E73" w:rsidRPr="00436E73">
        <w:tc>
          <w:tcPr>
            <w:tcW w:w="510" w:type="dxa"/>
            <w:vMerge w:val="restart"/>
            <w:vAlign w:val="center"/>
          </w:tcPr>
          <w:p w:rsidR="00B817E7" w:rsidRPr="00436E73" w:rsidRDefault="00B817E7">
            <w:pPr>
              <w:pStyle w:val="ConsPlusNormal"/>
              <w:jc w:val="center"/>
            </w:pPr>
            <w:r w:rsidRPr="00436E73">
              <w:t xml:space="preserve">N </w:t>
            </w:r>
            <w:proofErr w:type="gramStart"/>
            <w:r w:rsidRPr="00436E73">
              <w:t>п</w:t>
            </w:r>
            <w:proofErr w:type="gramEnd"/>
            <w:r w:rsidRPr="00436E73">
              <w:t>/п</w:t>
            </w:r>
          </w:p>
        </w:tc>
        <w:tc>
          <w:tcPr>
            <w:tcW w:w="3192" w:type="dxa"/>
            <w:vMerge w:val="restart"/>
            <w:vAlign w:val="center"/>
          </w:tcPr>
          <w:p w:rsidR="00B817E7" w:rsidRPr="00436E73" w:rsidRDefault="00B817E7">
            <w:pPr>
              <w:pStyle w:val="ConsPlusNormal"/>
              <w:jc w:val="center"/>
            </w:pPr>
            <w:r w:rsidRPr="00436E73">
              <w:t>Место деятельности на территории области</w:t>
            </w:r>
          </w:p>
        </w:tc>
        <w:tc>
          <w:tcPr>
            <w:tcW w:w="5329" w:type="dxa"/>
            <w:gridSpan w:val="2"/>
            <w:vAlign w:val="center"/>
          </w:tcPr>
          <w:p w:rsidR="00B817E7" w:rsidRPr="00436E73" w:rsidRDefault="00B817E7">
            <w:pPr>
              <w:pStyle w:val="ConsPlusNormal"/>
              <w:jc w:val="center"/>
            </w:pPr>
            <w:r w:rsidRPr="00436E73">
              <w:t>Корректирующий коэффициент К2м</w:t>
            </w:r>
          </w:p>
        </w:tc>
      </w:tr>
      <w:tr w:rsidR="00436E73" w:rsidRPr="00436E73">
        <w:tc>
          <w:tcPr>
            <w:tcW w:w="510" w:type="dxa"/>
            <w:vMerge/>
          </w:tcPr>
          <w:p w:rsidR="00B817E7" w:rsidRPr="00436E73" w:rsidRDefault="00B817E7"/>
        </w:tc>
        <w:tc>
          <w:tcPr>
            <w:tcW w:w="3192" w:type="dxa"/>
            <w:vMerge/>
          </w:tcPr>
          <w:p w:rsidR="00B817E7" w:rsidRPr="00436E73" w:rsidRDefault="00B817E7"/>
        </w:tc>
        <w:tc>
          <w:tcPr>
            <w:tcW w:w="2835" w:type="dxa"/>
            <w:vAlign w:val="center"/>
          </w:tcPr>
          <w:p w:rsidR="00B817E7" w:rsidRPr="00436E73" w:rsidRDefault="00B817E7">
            <w:pPr>
              <w:pStyle w:val="ConsPlusNormal"/>
              <w:jc w:val="center"/>
            </w:pPr>
            <w:r w:rsidRPr="00436E73">
              <w:t>Для всех видов деятельности, за исключением оказания автотранспортных услуг</w:t>
            </w:r>
          </w:p>
        </w:tc>
        <w:tc>
          <w:tcPr>
            <w:tcW w:w="2494" w:type="dxa"/>
            <w:vAlign w:val="center"/>
          </w:tcPr>
          <w:p w:rsidR="00B817E7" w:rsidRPr="00436E73" w:rsidRDefault="00B817E7">
            <w:pPr>
              <w:pStyle w:val="ConsPlusNormal"/>
              <w:jc w:val="center"/>
            </w:pPr>
            <w:r w:rsidRPr="00436E73">
              <w:t>Для оказания автотранспортных услуг</w:t>
            </w:r>
          </w:p>
        </w:tc>
      </w:tr>
      <w:tr w:rsidR="00436E73" w:rsidRPr="00436E73">
        <w:tc>
          <w:tcPr>
            <w:tcW w:w="510" w:type="dxa"/>
            <w:vAlign w:val="center"/>
          </w:tcPr>
          <w:p w:rsidR="00B817E7" w:rsidRPr="00436E73" w:rsidRDefault="00B817E7">
            <w:pPr>
              <w:pStyle w:val="ConsPlusNormal"/>
              <w:jc w:val="center"/>
            </w:pPr>
            <w:r w:rsidRPr="00436E73">
              <w:t>1.</w:t>
            </w:r>
          </w:p>
        </w:tc>
        <w:tc>
          <w:tcPr>
            <w:tcW w:w="3192" w:type="dxa"/>
            <w:vAlign w:val="center"/>
          </w:tcPr>
          <w:p w:rsidR="00B817E7" w:rsidRPr="00436E73" w:rsidRDefault="00B817E7">
            <w:pPr>
              <w:pStyle w:val="ConsPlusNormal"/>
            </w:pPr>
            <w:r w:rsidRPr="00436E73">
              <w:t>С. Поддорье</w:t>
            </w:r>
          </w:p>
        </w:tc>
        <w:tc>
          <w:tcPr>
            <w:tcW w:w="2835" w:type="dxa"/>
            <w:vAlign w:val="center"/>
          </w:tcPr>
          <w:p w:rsidR="00B817E7" w:rsidRPr="00436E73" w:rsidRDefault="00B817E7">
            <w:pPr>
              <w:pStyle w:val="ConsPlusNormal"/>
              <w:jc w:val="center"/>
            </w:pPr>
            <w:r w:rsidRPr="00436E73">
              <w:t>0,5</w:t>
            </w:r>
          </w:p>
        </w:tc>
        <w:tc>
          <w:tcPr>
            <w:tcW w:w="2494" w:type="dxa"/>
            <w:vAlign w:val="center"/>
          </w:tcPr>
          <w:p w:rsidR="00B817E7" w:rsidRPr="00436E73" w:rsidRDefault="00B817E7">
            <w:pPr>
              <w:pStyle w:val="ConsPlusNormal"/>
              <w:jc w:val="center"/>
            </w:pPr>
            <w:r w:rsidRPr="00436E73">
              <w:t>1,0</w:t>
            </w:r>
          </w:p>
        </w:tc>
      </w:tr>
      <w:tr w:rsidR="00B817E7" w:rsidRPr="00436E73">
        <w:tc>
          <w:tcPr>
            <w:tcW w:w="510" w:type="dxa"/>
            <w:vAlign w:val="center"/>
          </w:tcPr>
          <w:p w:rsidR="00B817E7" w:rsidRPr="00436E73" w:rsidRDefault="00B817E7">
            <w:pPr>
              <w:pStyle w:val="ConsPlusNormal"/>
              <w:jc w:val="center"/>
            </w:pPr>
            <w:r w:rsidRPr="00436E73">
              <w:t>2.</w:t>
            </w:r>
          </w:p>
        </w:tc>
        <w:tc>
          <w:tcPr>
            <w:tcW w:w="3192" w:type="dxa"/>
            <w:vAlign w:val="center"/>
          </w:tcPr>
          <w:p w:rsidR="00B817E7" w:rsidRPr="00436E73" w:rsidRDefault="00B817E7">
            <w:pPr>
              <w:pStyle w:val="ConsPlusNormal"/>
            </w:pPr>
            <w:r w:rsidRPr="00436E73">
              <w:t>Прочие населенные пункты</w:t>
            </w:r>
          </w:p>
        </w:tc>
        <w:tc>
          <w:tcPr>
            <w:tcW w:w="2835" w:type="dxa"/>
            <w:vAlign w:val="center"/>
          </w:tcPr>
          <w:p w:rsidR="00B817E7" w:rsidRPr="00436E73" w:rsidRDefault="00B817E7">
            <w:pPr>
              <w:pStyle w:val="ConsPlusNormal"/>
              <w:jc w:val="center"/>
            </w:pPr>
            <w:r w:rsidRPr="00436E73">
              <w:t>0,05</w:t>
            </w:r>
          </w:p>
        </w:tc>
        <w:tc>
          <w:tcPr>
            <w:tcW w:w="2494" w:type="dxa"/>
            <w:vAlign w:val="center"/>
          </w:tcPr>
          <w:p w:rsidR="00B817E7" w:rsidRPr="00436E73" w:rsidRDefault="00B817E7">
            <w:pPr>
              <w:pStyle w:val="ConsPlusNormal"/>
              <w:jc w:val="center"/>
            </w:pPr>
            <w:r w:rsidRPr="00436E73">
              <w:t>1,0</w:t>
            </w:r>
          </w:p>
        </w:tc>
      </w:tr>
    </w:tbl>
    <w:p w:rsidR="00B817E7" w:rsidRPr="00436E73" w:rsidRDefault="00B817E7">
      <w:pPr>
        <w:pStyle w:val="ConsPlusNormal"/>
        <w:jc w:val="both"/>
      </w:pPr>
    </w:p>
    <w:p w:rsidR="00B817E7" w:rsidRPr="00436E73" w:rsidRDefault="00B817E7">
      <w:pPr>
        <w:pStyle w:val="ConsPlusNormal"/>
        <w:ind w:firstLine="540"/>
        <w:jc w:val="both"/>
      </w:pPr>
      <w:r w:rsidRPr="00436E73">
        <w:t>1. Для налогоплательщиков, осуществляющих розничную торговлю через объекты нестационарной торговой сети, применяется коэффициент, равный 1.</w:t>
      </w:r>
    </w:p>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jc w:val="both"/>
      </w:pPr>
    </w:p>
    <w:p w:rsidR="00B817E7" w:rsidRDefault="00B817E7">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Default="00436E73">
      <w:pPr>
        <w:pStyle w:val="ConsPlusNormal"/>
        <w:jc w:val="both"/>
      </w:pPr>
    </w:p>
    <w:p w:rsidR="00436E73" w:rsidRPr="00436E73" w:rsidRDefault="00436E73">
      <w:pPr>
        <w:pStyle w:val="ConsPlusNormal"/>
        <w:jc w:val="both"/>
      </w:pPr>
      <w:bookmarkStart w:id="10" w:name="_GoBack"/>
      <w:bookmarkEnd w:id="10"/>
    </w:p>
    <w:p w:rsidR="00B817E7" w:rsidRPr="00436E73" w:rsidRDefault="00B817E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72"/>
        <w:gridCol w:w="717"/>
        <w:gridCol w:w="434"/>
        <w:gridCol w:w="338"/>
        <w:gridCol w:w="1028"/>
        <w:gridCol w:w="190"/>
        <w:gridCol w:w="1367"/>
        <w:gridCol w:w="3224"/>
      </w:tblGrid>
      <w:tr w:rsidR="00436E73" w:rsidRPr="00436E73">
        <w:tc>
          <w:tcPr>
            <w:tcW w:w="9070" w:type="dxa"/>
            <w:gridSpan w:val="8"/>
            <w:tcBorders>
              <w:top w:val="nil"/>
              <w:left w:val="nil"/>
              <w:bottom w:val="nil"/>
              <w:right w:val="nil"/>
            </w:tcBorders>
          </w:tcPr>
          <w:p w:rsidR="00B817E7" w:rsidRPr="00436E73" w:rsidRDefault="00B817E7">
            <w:pPr>
              <w:pStyle w:val="ConsPlusNormal"/>
              <w:jc w:val="center"/>
              <w:outlineLvl w:val="1"/>
            </w:pPr>
            <w:r w:rsidRPr="00436E73">
              <w:lastRenderedPageBreak/>
              <w:t>ЗАЯВЛЕНИЕ</w:t>
            </w:r>
          </w:p>
          <w:p w:rsidR="00B817E7" w:rsidRPr="00436E73" w:rsidRDefault="00B817E7">
            <w:pPr>
              <w:pStyle w:val="ConsPlusNormal"/>
              <w:jc w:val="center"/>
            </w:pPr>
            <w:r w:rsidRPr="00436E73">
              <w:t>о постановке на учет в налоговом органе в качестве</w:t>
            </w:r>
          </w:p>
          <w:p w:rsidR="00B817E7" w:rsidRPr="00436E73" w:rsidRDefault="00B817E7">
            <w:pPr>
              <w:pStyle w:val="ConsPlusNormal"/>
              <w:jc w:val="center"/>
            </w:pPr>
            <w:r w:rsidRPr="00436E73">
              <w:t>налогоплательщика единого налога</w:t>
            </w:r>
          </w:p>
        </w:tc>
      </w:tr>
      <w:tr w:rsidR="00436E73" w:rsidRPr="00436E73">
        <w:tc>
          <w:tcPr>
            <w:tcW w:w="9070" w:type="dxa"/>
            <w:gridSpan w:val="8"/>
            <w:tcBorders>
              <w:top w:val="nil"/>
              <w:left w:val="nil"/>
              <w:bottom w:val="nil"/>
              <w:right w:val="nil"/>
            </w:tcBorders>
          </w:tcPr>
          <w:p w:rsidR="00B817E7" w:rsidRPr="00436E73" w:rsidRDefault="00B817E7">
            <w:pPr>
              <w:pStyle w:val="ConsPlusNormal"/>
              <w:ind w:firstLine="283"/>
              <w:jc w:val="both"/>
            </w:pPr>
            <w:r w:rsidRPr="00436E73">
              <w:t>В соответствии с решением Думы __________ муниципального района "О системе налогообложения в виде единого налога на вмененный доход для отдельных видов деятельности"</w:t>
            </w:r>
          </w:p>
        </w:tc>
      </w:tr>
      <w:tr w:rsidR="00436E73" w:rsidRPr="00436E73">
        <w:tc>
          <w:tcPr>
            <w:tcW w:w="9070" w:type="dxa"/>
            <w:gridSpan w:val="8"/>
            <w:tcBorders>
              <w:top w:val="nil"/>
              <w:left w:val="nil"/>
              <w:bottom w:val="single" w:sz="4" w:space="0" w:color="auto"/>
              <w:right w:val="nil"/>
            </w:tcBorders>
          </w:tcPr>
          <w:p w:rsidR="00B817E7" w:rsidRPr="00436E73" w:rsidRDefault="00B817E7">
            <w:pPr>
              <w:pStyle w:val="ConsPlusNormal"/>
            </w:pPr>
          </w:p>
        </w:tc>
      </w:tr>
      <w:tr w:rsidR="00436E73" w:rsidRPr="00436E73">
        <w:tc>
          <w:tcPr>
            <w:tcW w:w="9070" w:type="dxa"/>
            <w:gridSpan w:val="8"/>
            <w:tcBorders>
              <w:top w:val="single" w:sz="4" w:space="0" w:color="auto"/>
              <w:left w:val="nil"/>
              <w:bottom w:val="nil"/>
              <w:right w:val="nil"/>
            </w:tcBorders>
          </w:tcPr>
          <w:p w:rsidR="00B817E7" w:rsidRPr="00436E73" w:rsidRDefault="00B817E7">
            <w:pPr>
              <w:pStyle w:val="ConsPlusNormal"/>
              <w:jc w:val="center"/>
            </w:pPr>
            <w:r w:rsidRPr="00436E73">
              <w:t>(наименование организации)</w:t>
            </w:r>
          </w:p>
        </w:tc>
      </w:tr>
      <w:tr w:rsidR="00436E73" w:rsidRPr="00436E73">
        <w:tc>
          <w:tcPr>
            <w:tcW w:w="9070" w:type="dxa"/>
            <w:gridSpan w:val="8"/>
            <w:tcBorders>
              <w:top w:val="nil"/>
              <w:left w:val="nil"/>
              <w:bottom w:val="nil"/>
              <w:right w:val="nil"/>
            </w:tcBorders>
          </w:tcPr>
          <w:p w:rsidR="00B817E7" w:rsidRPr="00436E73" w:rsidRDefault="00B817E7">
            <w:pPr>
              <w:pStyle w:val="ConsPlusNormal"/>
            </w:pPr>
            <w:r w:rsidRPr="00436E73">
              <w:t>просит (прошу) поставить (меня) на учет в качестве налогоплательщика единого налога по следующим видам предпринимательской деятельности:</w:t>
            </w:r>
          </w:p>
        </w:tc>
      </w:tr>
      <w:tr w:rsidR="00436E73" w:rsidRPr="00436E73">
        <w:tc>
          <w:tcPr>
            <w:tcW w:w="9070" w:type="dxa"/>
            <w:gridSpan w:val="8"/>
            <w:tcBorders>
              <w:top w:val="nil"/>
              <w:left w:val="nil"/>
              <w:bottom w:val="single" w:sz="4" w:space="0" w:color="auto"/>
              <w:right w:val="nil"/>
            </w:tcBorders>
          </w:tcPr>
          <w:p w:rsidR="00B817E7" w:rsidRPr="00436E73" w:rsidRDefault="00B817E7">
            <w:pPr>
              <w:pStyle w:val="ConsPlusNormal"/>
            </w:pPr>
          </w:p>
        </w:tc>
      </w:tr>
      <w:tr w:rsidR="00436E73" w:rsidRPr="00436E73">
        <w:tblPrEx>
          <w:tblBorders>
            <w:left w:val="single" w:sz="4" w:space="0" w:color="auto"/>
            <w:right w:val="single" w:sz="4" w:space="0" w:color="auto"/>
            <w:insideH w:val="single" w:sz="4" w:space="0" w:color="auto"/>
            <w:insideV w:val="single" w:sz="4" w:space="0" w:color="auto"/>
          </w:tblBorders>
        </w:tblPrEx>
        <w:tc>
          <w:tcPr>
            <w:tcW w:w="2923" w:type="dxa"/>
            <w:gridSpan w:val="3"/>
            <w:tcBorders>
              <w:top w:val="single" w:sz="4" w:space="0" w:color="auto"/>
              <w:bottom w:val="single" w:sz="4" w:space="0" w:color="auto"/>
            </w:tcBorders>
            <w:vAlign w:val="center"/>
          </w:tcPr>
          <w:p w:rsidR="00B817E7" w:rsidRPr="00436E73" w:rsidRDefault="00B817E7">
            <w:pPr>
              <w:pStyle w:val="ConsPlusNormal"/>
              <w:jc w:val="center"/>
            </w:pPr>
            <w:r w:rsidRPr="00436E73">
              <w:t>Вид деятельности</w:t>
            </w:r>
          </w:p>
        </w:tc>
        <w:tc>
          <w:tcPr>
            <w:tcW w:w="2923" w:type="dxa"/>
            <w:gridSpan w:val="4"/>
            <w:tcBorders>
              <w:top w:val="single" w:sz="4" w:space="0" w:color="auto"/>
              <w:bottom w:val="single" w:sz="4" w:space="0" w:color="auto"/>
            </w:tcBorders>
            <w:vAlign w:val="center"/>
          </w:tcPr>
          <w:p w:rsidR="00B817E7" w:rsidRPr="00436E73" w:rsidRDefault="00B817E7">
            <w:pPr>
              <w:pStyle w:val="ConsPlusNormal"/>
              <w:jc w:val="center"/>
            </w:pPr>
            <w:r w:rsidRPr="00436E73">
              <w:t>Место нахождения</w:t>
            </w:r>
          </w:p>
        </w:tc>
        <w:tc>
          <w:tcPr>
            <w:tcW w:w="3224" w:type="dxa"/>
            <w:tcBorders>
              <w:top w:val="single" w:sz="4" w:space="0" w:color="auto"/>
              <w:bottom w:val="single" w:sz="4" w:space="0" w:color="auto"/>
            </w:tcBorders>
            <w:vAlign w:val="center"/>
          </w:tcPr>
          <w:p w:rsidR="00B817E7" w:rsidRPr="00436E73" w:rsidRDefault="00B817E7">
            <w:pPr>
              <w:pStyle w:val="ConsPlusNormal"/>
              <w:jc w:val="center"/>
            </w:pPr>
            <w:r w:rsidRPr="00436E73">
              <w:t>Количественное выражение физического показателя</w:t>
            </w:r>
          </w:p>
        </w:tc>
      </w:tr>
      <w:tr w:rsidR="00436E73" w:rsidRPr="00436E73">
        <w:tblPrEx>
          <w:tblBorders>
            <w:left w:val="single" w:sz="4" w:space="0" w:color="auto"/>
            <w:right w:val="single" w:sz="4" w:space="0" w:color="auto"/>
            <w:insideH w:val="single" w:sz="4" w:space="0" w:color="auto"/>
            <w:insideV w:val="single" w:sz="4" w:space="0" w:color="auto"/>
          </w:tblBorders>
        </w:tblPrEx>
        <w:tc>
          <w:tcPr>
            <w:tcW w:w="2923" w:type="dxa"/>
            <w:gridSpan w:val="3"/>
            <w:tcBorders>
              <w:top w:val="single" w:sz="4" w:space="0" w:color="auto"/>
              <w:bottom w:val="single" w:sz="4" w:space="0" w:color="auto"/>
            </w:tcBorders>
          </w:tcPr>
          <w:p w:rsidR="00B817E7" w:rsidRPr="00436E73" w:rsidRDefault="00B817E7">
            <w:pPr>
              <w:pStyle w:val="ConsPlusNormal"/>
            </w:pPr>
          </w:p>
        </w:tc>
        <w:tc>
          <w:tcPr>
            <w:tcW w:w="2923" w:type="dxa"/>
            <w:gridSpan w:val="4"/>
            <w:tcBorders>
              <w:top w:val="single" w:sz="4" w:space="0" w:color="auto"/>
              <w:bottom w:val="single" w:sz="4" w:space="0" w:color="auto"/>
            </w:tcBorders>
          </w:tcPr>
          <w:p w:rsidR="00B817E7" w:rsidRPr="00436E73" w:rsidRDefault="00B817E7">
            <w:pPr>
              <w:pStyle w:val="ConsPlusNormal"/>
            </w:pPr>
          </w:p>
        </w:tc>
        <w:tc>
          <w:tcPr>
            <w:tcW w:w="3224" w:type="dxa"/>
            <w:tcBorders>
              <w:top w:val="single" w:sz="4" w:space="0" w:color="auto"/>
              <w:bottom w:val="single" w:sz="4" w:space="0" w:color="auto"/>
            </w:tcBorders>
          </w:tcPr>
          <w:p w:rsidR="00B817E7" w:rsidRPr="00436E73" w:rsidRDefault="00B817E7">
            <w:pPr>
              <w:pStyle w:val="ConsPlusNormal"/>
            </w:pPr>
          </w:p>
        </w:tc>
      </w:tr>
      <w:tr w:rsidR="00436E73" w:rsidRPr="00436E73">
        <w:tblPrEx>
          <w:tblBorders>
            <w:left w:val="single" w:sz="4" w:space="0" w:color="auto"/>
            <w:right w:val="single" w:sz="4" w:space="0" w:color="auto"/>
            <w:insideH w:val="single" w:sz="4" w:space="0" w:color="auto"/>
            <w:insideV w:val="single" w:sz="4" w:space="0" w:color="auto"/>
          </w:tblBorders>
        </w:tblPrEx>
        <w:tc>
          <w:tcPr>
            <w:tcW w:w="2923" w:type="dxa"/>
            <w:gridSpan w:val="3"/>
            <w:tcBorders>
              <w:top w:val="single" w:sz="4" w:space="0" w:color="auto"/>
              <w:bottom w:val="single" w:sz="4" w:space="0" w:color="auto"/>
            </w:tcBorders>
          </w:tcPr>
          <w:p w:rsidR="00B817E7" w:rsidRPr="00436E73" w:rsidRDefault="00B817E7">
            <w:pPr>
              <w:pStyle w:val="ConsPlusNormal"/>
            </w:pPr>
          </w:p>
        </w:tc>
        <w:tc>
          <w:tcPr>
            <w:tcW w:w="2923" w:type="dxa"/>
            <w:gridSpan w:val="4"/>
            <w:tcBorders>
              <w:top w:val="single" w:sz="4" w:space="0" w:color="auto"/>
              <w:bottom w:val="single" w:sz="4" w:space="0" w:color="auto"/>
            </w:tcBorders>
          </w:tcPr>
          <w:p w:rsidR="00B817E7" w:rsidRPr="00436E73" w:rsidRDefault="00B817E7">
            <w:pPr>
              <w:pStyle w:val="ConsPlusNormal"/>
            </w:pPr>
          </w:p>
        </w:tc>
        <w:tc>
          <w:tcPr>
            <w:tcW w:w="3224" w:type="dxa"/>
            <w:tcBorders>
              <w:top w:val="single" w:sz="4" w:space="0" w:color="auto"/>
              <w:bottom w:val="single" w:sz="4" w:space="0" w:color="auto"/>
            </w:tcBorders>
          </w:tcPr>
          <w:p w:rsidR="00B817E7" w:rsidRPr="00436E73" w:rsidRDefault="00B817E7">
            <w:pPr>
              <w:pStyle w:val="ConsPlusNormal"/>
            </w:pPr>
          </w:p>
        </w:tc>
      </w:tr>
      <w:tr w:rsidR="00436E73" w:rsidRPr="00436E73">
        <w:tc>
          <w:tcPr>
            <w:tcW w:w="9070" w:type="dxa"/>
            <w:gridSpan w:val="8"/>
            <w:tcBorders>
              <w:top w:val="single" w:sz="4" w:space="0" w:color="auto"/>
              <w:left w:val="nil"/>
              <w:bottom w:val="nil"/>
              <w:right w:val="nil"/>
            </w:tcBorders>
          </w:tcPr>
          <w:p w:rsidR="00B817E7" w:rsidRPr="00436E73" w:rsidRDefault="00B817E7">
            <w:pPr>
              <w:pStyle w:val="ConsPlusNormal"/>
            </w:pPr>
          </w:p>
        </w:tc>
      </w:tr>
      <w:tr w:rsidR="00436E73" w:rsidRPr="00436E73">
        <w:tc>
          <w:tcPr>
            <w:tcW w:w="4479" w:type="dxa"/>
            <w:gridSpan w:val="6"/>
            <w:tcBorders>
              <w:top w:val="nil"/>
              <w:left w:val="nil"/>
              <w:bottom w:val="nil"/>
              <w:right w:val="nil"/>
            </w:tcBorders>
          </w:tcPr>
          <w:p w:rsidR="00B817E7" w:rsidRPr="00436E73" w:rsidRDefault="00B817E7">
            <w:pPr>
              <w:pStyle w:val="ConsPlusNormal"/>
            </w:pPr>
            <w:r w:rsidRPr="00436E73">
              <w:t>Наименование обслуживающих банков</w:t>
            </w:r>
          </w:p>
        </w:tc>
        <w:tc>
          <w:tcPr>
            <w:tcW w:w="4591" w:type="dxa"/>
            <w:gridSpan w:val="2"/>
            <w:tcBorders>
              <w:top w:val="nil"/>
              <w:left w:val="nil"/>
              <w:bottom w:val="single" w:sz="4" w:space="0" w:color="auto"/>
              <w:right w:val="nil"/>
            </w:tcBorders>
          </w:tcPr>
          <w:p w:rsidR="00B817E7" w:rsidRPr="00436E73" w:rsidRDefault="00B817E7">
            <w:pPr>
              <w:pStyle w:val="ConsPlusNormal"/>
            </w:pPr>
          </w:p>
        </w:tc>
      </w:tr>
      <w:tr w:rsidR="00436E73" w:rsidRPr="00436E73">
        <w:tc>
          <w:tcPr>
            <w:tcW w:w="1772" w:type="dxa"/>
            <w:tcBorders>
              <w:top w:val="nil"/>
              <w:left w:val="nil"/>
              <w:bottom w:val="nil"/>
              <w:right w:val="nil"/>
            </w:tcBorders>
          </w:tcPr>
          <w:p w:rsidR="00B817E7" w:rsidRPr="00436E73" w:rsidRDefault="00B817E7">
            <w:pPr>
              <w:pStyle w:val="ConsPlusNormal"/>
              <w:jc w:val="both"/>
            </w:pPr>
            <w:r w:rsidRPr="00436E73">
              <w:t>Номер счетов</w:t>
            </w:r>
          </w:p>
        </w:tc>
        <w:tc>
          <w:tcPr>
            <w:tcW w:w="7298" w:type="dxa"/>
            <w:gridSpan w:val="7"/>
            <w:tcBorders>
              <w:top w:val="nil"/>
              <w:left w:val="nil"/>
              <w:bottom w:val="single" w:sz="4" w:space="0" w:color="auto"/>
              <w:right w:val="nil"/>
            </w:tcBorders>
          </w:tcPr>
          <w:p w:rsidR="00B817E7" w:rsidRPr="00436E73" w:rsidRDefault="00B817E7">
            <w:pPr>
              <w:pStyle w:val="ConsPlusNormal"/>
            </w:pPr>
          </w:p>
        </w:tc>
      </w:tr>
      <w:tr w:rsidR="00436E73" w:rsidRPr="00436E73">
        <w:tc>
          <w:tcPr>
            <w:tcW w:w="2489" w:type="dxa"/>
            <w:gridSpan w:val="2"/>
            <w:tcBorders>
              <w:top w:val="nil"/>
              <w:left w:val="nil"/>
              <w:bottom w:val="nil"/>
              <w:right w:val="nil"/>
            </w:tcBorders>
          </w:tcPr>
          <w:p w:rsidR="00B817E7" w:rsidRPr="00436E73" w:rsidRDefault="00B817E7">
            <w:pPr>
              <w:pStyle w:val="ConsPlusNormal"/>
              <w:jc w:val="both"/>
            </w:pPr>
            <w:r w:rsidRPr="00436E73">
              <w:t>их местонахождение</w:t>
            </w:r>
          </w:p>
        </w:tc>
        <w:tc>
          <w:tcPr>
            <w:tcW w:w="6581" w:type="dxa"/>
            <w:gridSpan w:val="6"/>
            <w:tcBorders>
              <w:top w:val="single" w:sz="4" w:space="0" w:color="auto"/>
              <w:left w:val="nil"/>
              <w:bottom w:val="single" w:sz="4" w:space="0" w:color="auto"/>
              <w:right w:val="nil"/>
            </w:tcBorders>
          </w:tcPr>
          <w:p w:rsidR="00B817E7" w:rsidRPr="00436E73" w:rsidRDefault="00B817E7">
            <w:pPr>
              <w:pStyle w:val="ConsPlusNormal"/>
            </w:pPr>
          </w:p>
        </w:tc>
      </w:tr>
      <w:tr w:rsidR="00436E73" w:rsidRPr="00436E73">
        <w:tc>
          <w:tcPr>
            <w:tcW w:w="9070" w:type="dxa"/>
            <w:gridSpan w:val="8"/>
            <w:tcBorders>
              <w:top w:val="nil"/>
              <w:left w:val="nil"/>
              <w:bottom w:val="nil"/>
              <w:right w:val="nil"/>
            </w:tcBorders>
          </w:tcPr>
          <w:p w:rsidR="00B817E7" w:rsidRPr="00436E73" w:rsidRDefault="00B817E7">
            <w:pPr>
              <w:pStyle w:val="ConsPlusNormal"/>
            </w:pPr>
          </w:p>
        </w:tc>
      </w:tr>
      <w:tr w:rsidR="00436E73" w:rsidRPr="00436E73">
        <w:tc>
          <w:tcPr>
            <w:tcW w:w="3261" w:type="dxa"/>
            <w:gridSpan w:val="4"/>
            <w:tcBorders>
              <w:top w:val="nil"/>
              <w:left w:val="nil"/>
              <w:bottom w:val="nil"/>
              <w:right w:val="nil"/>
            </w:tcBorders>
          </w:tcPr>
          <w:p w:rsidR="00B817E7" w:rsidRPr="00436E73" w:rsidRDefault="00B817E7">
            <w:pPr>
              <w:pStyle w:val="ConsPlusNormal"/>
            </w:pPr>
            <w:r w:rsidRPr="00436E73">
              <w:t>Руководитель организации</w:t>
            </w:r>
          </w:p>
          <w:p w:rsidR="00B817E7" w:rsidRPr="00436E73" w:rsidRDefault="00B817E7">
            <w:pPr>
              <w:pStyle w:val="ConsPlusNormal"/>
            </w:pPr>
            <w:r w:rsidRPr="00436E73">
              <w:t>(предприниматель)</w:t>
            </w:r>
          </w:p>
        </w:tc>
        <w:tc>
          <w:tcPr>
            <w:tcW w:w="1028" w:type="dxa"/>
            <w:tcBorders>
              <w:top w:val="nil"/>
              <w:left w:val="nil"/>
              <w:bottom w:val="nil"/>
              <w:right w:val="nil"/>
            </w:tcBorders>
            <w:vAlign w:val="bottom"/>
          </w:tcPr>
          <w:p w:rsidR="00B817E7" w:rsidRPr="00436E73" w:rsidRDefault="00B817E7">
            <w:pPr>
              <w:pStyle w:val="ConsPlusNormal"/>
              <w:jc w:val="right"/>
            </w:pPr>
            <w:r w:rsidRPr="00436E73">
              <w:t>МП</w:t>
            </w:r>
          </w:p>
        </w:tc>
        <w:tc>
          <w:tcPr>
            <w:tcW w:w="4781" w:type="dxa"/>
            <w:gridSpan w:val="3"/>
            <w:tcBorders>
              <w:top w:val="nil"/>
              <w:left w:val="nil"/>
              <w:bottom w:val="single" w:sz="4" w:space="0" w:color="auto"/>
              <w:right w:val="nil"/>
            </w:tcBorders>
            <w:vAlign w:val="bottom"/>
          </w:tcPr>
          <w:p w:rsidR="00B817E7" w:rsidRPr="00436E73" w:rsidRDefault="00B817E7">
            <w:pPr>
              <w:pStyle w:val="ConsPlusNormal"/>
            </w:pPr>
          </w:p>
        </w:tc>
      </w:tr>
      <w:tr w:rsidR="00436E73" w:rsidRPr="00436E73">
        <w:tc>
          <w:tcPr>
            <w:tcW w:w="3261" w:type="dxa"/>
            <w:gridSpan w:val="4"/>
            <w:tcBorders>
              <w:top w:val="nil"/>
              <w:left w:val="nil"/>
              <w:bottom w:val="nil"/>
              <w:right w:val="nil"/>
            </w:tcBorders>
          </w:tcPr>
          <w:p w:rsidR="00B817E7" w:rsidRPr="00436E73" w:rsidRDefault="00B817E7">
            <w:pPr>
              <w:pStyle w:val="ConsPlusNormal"/>
            </w:pPr>
          </w:p>
        </w:tc>
        <w:tc>
          <w:tcPr>
            <w:tcW w:w="1028" w:type="dxa"/>
            <w:tcBorders>
              <w:top w:val="nil"/>
              <w:left w:val="nil"/>
              <w:bottom w:val="nil"/>
              <w:right w:val="nil"/>
            </w:tcBorders>
          </w:tcPr>
          <w:p w:rsidR="00B817E7" w:rsidRPr="00436E73" w:rsidRDefault="00B817E7">
            <w:pPr>
              <w:pStyle w:val="ConsPlusNormal"/>
            </w:pPr>
          </w:p>
        </w:tc>
        <w:tc>
          <w:tcPr>
            <w:tcW w:w="4781" w:type="dxa"/>
            <w:gridSpan w:val="3"/>
            <w:tcBorders>
              <w:top w:val="single" w:sz="4" w:space="0" w:color="auto"/>
              <w:left w:val="nil"/>
              <w:bottom w:val="nil"/>
              <w:right w:val="nil"/>
            </w:tcBorders>
          </w:tcPr>
          <w:p w:rsidR="00B817E7" w:rsidRPr="00436E73" w:rsidRDefault="00B817E7">
            <w:pPr>
              <w:pStyle w:val="ConsPlusNormal"/>
              <w:jc w:val="center"/>
            </w:pPr>
            <w:r w:rsidRPr="00436E73">
              <w:t>(подпись, фамилия, имя, отчество)</w:t>
            </w:r>
          </w:p>
        </w:tc>
      </w:tr>
      <w:tr w:rsidR="00B817E7" w:rsidRPr="00436E73">
        <w:tc>
          <w:tcPr>
            <w:tcW w:w="9070" w:type="dxa"/>
            <w:gridSpan w:val="8"/>
            <w:tcBorders>
              <w:top w:val="nil"/>
              <w:left w:val="nil"/>
              <w:bottom w:val="nil"/>
              <w:right w:val="nil"/>
            </w:tcBorders>
          </w:tcPr>
          <w:p w:rsidR="00B817E7" w:rsidRPr="00436E73" w:rsidRDefault="00B817E7">
            <w:pPr>
              <w:pStyle w:val="ConsPlusNormal"/>
            </w:pPr>
            <w:r w:rsidRPr="00436E73">
              <w:t>Дата __________</w:t>
            </w:r>
          </w:p>
        </w:tc>
      </w:tr>
    </w:tbl>
    <w:p w:rsidR="00B817E7" w:rsidRPr="00436E73" w:rsidRDefault="00B817E7">
      <w:pPr>
        <w:pStyle w:val="ConsPlusNormal"/>
        <w:jc w:val="both"/>
      </w:pPr>
    </w:p>
    <w:p w:rsidR="00B817E7" w:rsidRPr="00436E73" w:rsidRDefault="00B817E7">
      <w:pPr>
        <w:pStyle w:val="ConsPlusNormal"/>
        <w:jc w:val="both"/>
      </w:pPr>
    </w:p>
    <w:p w:rsidR="00B817E7" w:rsidRPr="00436E73" w:rsidRDefault="00B817E7">
      <w:pPr>
        <w:pStyle w:val="ConsPlusNormal"/>
        <w:pBdr>
          <w:top w:val="single" w:sz="6" w:space="0" w:color="auto"/>
        </w:pBdr>
        <w:spacing w:before="100" w:after="100"/>
        <w:jc w:val="both"/>
        <w:rPr>
          <w:sz w:val="2"/>
          <w:szCs w:val="2"/>
        </w:rPr>
      </w:pPr>
    </w:p>
    <w:p w:rsidR="00B80017" w:rsidRPr="00436E73" w:rsidRDefault="00B80017"/>
    <w:sectPr w:rsidR="00B80017" w:rsidRPr="00436E73" w:rsidSect="00052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E7"/>
    <w:rsid w:val="00436E73"/>
    <w:rsid w:val="00B80017"/>
    <w:rsid w:val="00B81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7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7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7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7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3152</Words>
  <Characters>17969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iNternet_kab_209</cp:lastModifiedBy>
  <cp:revision>2</cp:revision>
  <dcterms:created xsi:type="dcterms:W3CDTF">2021-01-27T11:49:00Z</dcterms:created>
  <dcterms:modified xsi:type="dcterms:W3CDTF">2021-01-27T11:49:00Z</dcterms:modified>
</cp:coreProperties>
</file>